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jc w:val="center"/>
        <w:rPr>
          <w:rFonts w:cs="Tahoma" w:ascii="Tahoma" w:hAnsi="Tahoma"/>
          <w:b w:val="false"/>
          <w:bCs w:val="false"/>
          <w:iCs w:val="false"/>
          <w:color w:val="0F0FB9"/>
          <w:szCs w:val="18"/>
        </w:rPr>
      </w:pPr>
      <w:r>
        <w:rPr>
          <w:rFonts w:cs="Tahoma" w:ascii="Tahoma" w:hAnsi="Tahoma"/>
          <w:b w:val="false"/>
          <w:bCs w:val="false"/>
          <w:iCs w:val="false"/>
          <w:color w:val="0F0FB9"/>
          <w:szCs w:val="18"/>
        </w:rPr>
        <w:t>[Бланк організації учасника процедури закупівлі]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rFonts w:cs="Tahoma" w:ascii="Tahoma" w:hAnsi="Tahoma"/>
          <w:b/>
          <w:caps/>
          <w:sz w:val="22"/>
          <w:szCs w:val="22"/>
          <w:lang w:val="uk-UA"/>
        </w:rPr>
      </w:pPr>
      <w:r>
        <w:rPr>
          <w:rFonts w:cs="Tahoma" w:ascii="Tahoma" w:hAnsi="Tahoma"/>
          <w:b/>
          <w:caps/>
          <w:sz w:val="22"/>
          <w:szCs w:val="22"/>
          <w:lang w:val="uk-UA"/>
        </w:rPr>
      </w:r>
    </w:p>
    <w:tbl>
      <w:tblPr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87"/>
        <w:gridCol w:w="4698"/>
      </w:tblGrid>
      <w:tr>
        <w:trPr>
          <w:cantSplit w:val="false"/>
        </w:trPr>
        <w:tc>
          <w:tcPr>
            <w:tcW w:w="10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 xml:space="preserve">Заповнюється співробітником 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val="en-US" w:eastAsia="ar-SA"/>
              </w:rPr>
              <w:t xml:space="preserve">TI 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>Україна</w:t>
            </w:r>
          </w:p>
        </w:tc>
      </w:tr>
      <w:tr>
        <w:trPr>
          <w:cantSplit w:val="false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/>
                <w:bCs/>
                <w:iCs/>
                <w:sz w:val="20"/>
                <w:szCs w:val="20"/>
                <w:lang w:eastAsia="ar-SA"/>
              </w:rPr>
              <w:t xml:space="preserve">Дата надходження </w:t>
            </w:r>
            <w:r>
              <w:rPr>
                <w:rFonts w:cs="Tahoma" w:ascii="Tahoma" w:hAnsi="Tahoma"/>
                <w:b/>
                <w:bCs/>
                <w:iCs/>
                <w:sz w:val="20"/>
                <w:szCs w:val="20"/>
                <w:lang w:val="uk-UA" w:eastAsia="ar-SA"/>
              </w:rPr>
              <w:t>тендерної пропозиції</w:t>
            </w:r>
            <w:r>
              <w:rPr>
                <w:rFonts w:cs="Tahoma" w:ascii="Tahoma" w:hAnsi="Tahoma"/>
                <w:b/>
                <w:bCs/>
                <w:iCs/>
                <w:sz w:val="20"/>
                <w:szCs w:val="20"/>
                <w:lang w:eastAsia="ar-SA"/>
              </w:rPr>
              <w:t xml:space="preserve"> до</w:t>
            </w:r>
            <w:r>
              <w:rPr>
                <w:rFonts w:cs="Tahoma" w:ascii="Tahoma" w:hAnsi="Tahoma"/>
                <w:b/>
                <w:bCs/>
                <w:iCs/>
                <w:sz w:val="20"/>
                <w:szCs w:val="20"/>
                <w:lang w:val="uk-UA" w:eastAsia="ar-SA"/>
              </w:rPr>
              <w:t xml:space="preserve"> TI Україна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bCs/>
                <w:iCs/>
                <w:sz w:val="20"/>
                <w:szCs w:val="20"/>
                <w:lang w:eastAsia="ar-SA"/>
              </w:rPr>
              <w:t>Реєстраційний номер</w:t>
            </w:r>
          </w:p>
        </w:tc>
      </w:tr>
      <w:tr>
        <w:trPr>
          <w:trHeight w:val="772" w:hRule="atLeast"/>
          <w:cantSplit w:val="false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CCCCCC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eastAsia="ar-SA"/>
              </w:rPr>
              <w:t>«______» __________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>______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>7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eastAsia="ar-SA"/>
              </w:rPr>
              <w:t xml:space="preserve"> р.</w:t>
            </w:r>
          </w:p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eastAsia="Tahoma" w:cs="Tahoma" w:ascii="Tahoma" w:hAnsi="Tahoma"/>
                <w:bCs/>
                <w:iCs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>___</w:t>
            </w:r>
            <w:r>
              <w:rPr>
                <w:rFonts w:cs="Tahoma" w:ascii="Tahoma" w:hAnsi="Tahoma"/>
                <w:bCs/>
                <w:iCs/>
                <w:sz w:val="20"/>
                <w:szCs w:val="20"/>
                <w:lang w:eastAsia="ar-SA"/>
              </w:rPr>
              <w:t>______</w:t>
            </w:r>
          </w:p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r>
          </w:p>
        </w:tc>
      </w:tr>
      <w:tr>
        <w:trPr>
          <w:trHeight w:val="714" w:hRule="atLeast"/>
          <w:cantSplit w:val="false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CCCCCC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>ПІБ____________________________________</w:t>
            </w:r>
          </w:p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  <w:t>підпис________________________</w:t>
            </w:r>
          </w:p>
          <w:p>
            <w:pPr>
              <w:pStyle w:val="Normal"/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pPr>
            <w:r>
              <w:rPr>
                <w:rFonts w:cs="Tahoma" w:ascii="Tahoma" w:hAnsi="Tahoma"/>
                <w:bCs/>
                <w:iCs/>
                <w:sz w:val="20"/>
                <w:szCs w:val="20"/>
                <w:lang w:val="uk-UA" w:eastAsia="ar-SA"/>
              </w:rPr>
            </w:r>
          </w:p>
        </w:tc>
      </w:tr>
    </w:tbl>
    <w:p>
      <w:pPr>
        <w:pStyle w:val="Normal"/>
        <w:rPr>
          <w:rFonts w:cs="Calibri" w:ascii="Calibri" w:hAnsi="Calibri"/>
          <w:b/>
          <w:caps/>
          <w:sz w:val="21"/>
          <w:szCs w:val="21"/>
          <w:lang w:val="uk-UA"/>
        </w:rPr>
      </w:pPr>
      <w:r>
        <w:rPr>
          <w:rFonts w:cs="Calibri" w:ascii="Calibri" w:hAnsi="Calibri"/>
          <w:b/>
          <w:caps/>
          <w:sz w:val="21"/>
          <w:szCs w:val="21"/>
          <w:lang w:val="uk-UA"/>
        </w:rPr>
      </w:r>
    </w:p>
    <w:p>
      <w:pPr>
        <w:pStyle w:val="Normal"/>
        <w:jc w:val="center"/>
        <w:rPr>
          <w:rFonts w:cs="Tahoma" w:ascii="Tahoma" w:hAnsi="Tahoma"/>
          <w:b/>
          <w:caps/>
          <w:sz w:val="21"/>
          <w:szCs w:val="21"/>
          <w:lang w:val="uk-UA"/>
        </w:rPr>
      </w:pPr>
      <w:r>
        <w:rPr>
          <w:rFonts w:cs="Tahoma" w:ascii="Tahoma" w:hAnsi="Tahoma"/>
          <w:b/>
          <w:caps/>
          <w:sz w:val="21"/>
          <w:szCs w:val="21"/>
          <w:lang w:val="uk-UA"/>
        </w:rPr>
      </w:r>
    </w:p>
    <w:p>
      <w:pPr>
        <w:pStyle w:val="Normal"/>
        <w:jc w:val="center"/>
        <w:rPr>
          <w:rFonts w:cs="Tahoma" w:ascii="Tahoma" w:hAnsi="Tahoma"/>
          <w:b/>
          <w:caps/>
          <w:sz w:val="21"/>
          <w:szCs w:val="21"/>
          <w:lang w:val="uk-UA"/>
        </w:rPr>
      </w:pPr>
      <w:r>
        <w:rPr>
          <w:rFonts w:cs="Tahoma" w:ascii="Tahoma" w:hAnsi="Tahoma"/>
          <w:b/>
          <w:caps/>
          <w:sz w:val="21"/>
          <w:szCs w:val="21"/>
          <w:lang w:val="uk-UA"/>
        </w:rPr>
        <w:t>Тендерна пропозиція</w:t>
      </w:r>
    </w:p>
    <w:p>
      <w:pPr>
        <w:pStyle w:val="Normal"/>
        <w:jc w:val="center"/>
        <w:rPr>
          <w:rFonts w:cs="Tahoma" w:ascii="Tahoma" w:hAnsi="Tahoma"/>
          <w:b/>
          <w:caps/>
          <w:sz w:val="21"/>
          <w:szCs w:val="21"/>
          <w:lang w:val="uk-UA"/>
        </w:rPr>
      </w:pPr>
      <w:r>
        <w:rPr>
          <w:rFonts w:cs="Tahoma" w:ascii="Tahoma" w:hAnsi="Tahoma"/>
          <w:b/>
          <w:caps/>
          <w:sz w:val="21"/>
          <w:szCs w:val="21"/>
          <w:lang w:val="uk-UA"/>
        </w:rPr>
      </w:r>
    </w:p>
    <w:p>
      <w:pPr>
        <w:pStyle w:val="Normal"/>
        <w:rPr>
          <w:rFonts w:cs="Tahoma" w:ascii="Tahoma" w:hAnsi="Tahoma"/>
          <w:b/>
          <w:caps/>
          <w:sz w:val="21"/>
          <w:szCs w:val="21"/>
          <w:lang w:val="uk-UA"/>
        </w:rPr>
      </w:pPr>
      <w:r>
        <w:rPr>
          <w:rFonts w:cs="Tahoma" w:ascii="Tahoma" w:hAnsi="Tahoma"/>
          <w:b/>
          <w:caps/>
          <w:sz w:val="21"/>
          <w:szCs w:val="21"/>
          <w:lang w:val="uk-UA"/>
        </w:rPr>
      </w:r>
    </w:p>
    <w:p>
      <w:pPr>
        <w:pStyle w:val="Normal"/>
        <w:tabs>
          <w:tab w:val="left" w:pos="540" w:leader="none"/>
        </w:tabs>
        <w:suppressAutoHyphens w:val="true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 xml:space="preserve">Ознайомившись із оголошенням про проведення процедури конкурсних торгів на закупівлю </w:t>
      </w:r>
      <w:r>
        <w:rPr>
          <w:rFonts w:cs="Tahoma" w:ascii="Tahoma" w:hAnsi="Tahoma"/>
          <w:b/>
          <w:bCs/>
          <w:color w:val="000000"/>
          <w:spacing w:val="-6"/>
          <w:sz w:val="20"/>
          <w:szCs w:val="20"/>
          <w:lang w:val="uk-UA"/>
        </w:rPr>
        <w:t xml:space="preserve">послуг з організації та матеріально-технічного супроводу заходів </w:t>
      </w:r>
      <w:r>
        <w:rPr>
          <w:rFonts w:cs="Tahoma" w:ascii="Tahoma" w:hAnsi="Tahoma"/>
          <w:sz w:val="20"/>
          <w:szCs w:val="20"/>
          <w:lang w:val="uk-UA"/>
        </w:rPr>
        <w:t>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>
        <w:rPr>
          <w:rFonts w:cs="Tahoma" w:ascii="Tahoma" w:hAnsi="Tahoma"/>
          <w:b/>
          <w:sz w:val="20"/>
          <w:szCs w:val="20"/>
          <w:lang w:val="uk-UA"/>
        </w:rPr>
        <w:t>Оголошення</w:t>
      </w:r>
      <w:r>
        <w:rPr>
          <w:rFonts w:cs="Tahoma" w:ascii="Tahoma" w:hAnsi="Tahoma"/>
          <w:sz w:val="20"/>
          <w:szCs w:val="20"/>
          <w:lang w:val="uk-UA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</w:p>
    <w:p>
      <w:pPr>
        <w:pStyle w:val="Heading1"/>
        <w:widowControl/>
        <w:numPr>
          <w:ilvl w:val="0"/>
          <w:numId w:val="1"/>
        </w:numPr>
        <w:spacing w:lineRule="auto" w:line="240" w:before="240" w:after="60"/>
        <w:jc w:val="left"/>
        <w:rPr>
          <w:rFonts w:cs="Tahoma" w:ascii="Tahoma" w:hAnsi="Tahoma"/>
          <w:iCs w:val="false"/>
          <w:sz w:val="20"/>
          <w:szCs w:val="20"/>
        </w:rPr>
      </w:pPr>
      <w:r>
        <w:rPr>
          <w:rFonts w:cs="Tahoma" w:ascii="Tahoma" w:hAnsi="Tahoma"/>
          <w:iCs w:val="false"/>
          <w:sz w:val="20"/>
          <w:szCs w:val="20"/>
        </w:rPr>
      </w:r>
    </w:p>
    <w:p>
      <w:pPr>
        <w:pStyle w:val="Heading1"/>
        <w:widowControl/>
        <w:numPr>
          <w:ilvl w:val="0"/>
          <w:numId w:val="1"/>
        </w:numPr>
        <w:spacing w:lineRule="auto" w:line="240" w:before="240" w:after="60"/>
        <w:jc w:val="left"/>
        <w:rPr>
          <w:rFonts w:cs="Tahoma" w:ascii="Tahoma" w:hAnsi="Tahoma"/>
          <w:iCs w:val="false"/>
          <w:sz w:val="20"/>
          <w:szCs w:val="20"/>
        </w:rPr>
      </w:pPr>
      <w:r>
        <w:rPr>
          <w:rFonts w:cs="Tahoma" w:ascii="Tahoma" w:hAnsi="Tahoma"/>
          <w:iCs w:val="false"/>
          <w:sz w:val="20"/>
          <w:szCs w:val="20"/>
        </w:rPr>
        <w:t>1. Загальні відомості про учасника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659"/>
        <w:gridCol w:w="4860"/>
      </w:tblGrid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Найменування юридичної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Фактична адреса: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32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Дата державної реєстрації: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32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ПІБ та посада керівника юридичної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Номер телефону керівника юридичної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Номер телефону контактної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Номер факсу контактної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Електронна пошта контактної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Адреса веб-сайту: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Банківські реквізити: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1" w:leader="none"/>
              </w:tabs>
              <w:snapToGrid w:val="false"/>
              <w:ind w:left="-4" w:right="459" w:hanging="0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421" w:leader="none"/>
              </w:tabs>
              <w:snapToGrid w:val="false"/>
              <w:ind w:left="279" w:right="459" w:hanging="283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tabs>
          <w:tab w:val="left" w:pos="540" w:leader="none"/>
        </w:tabs>
        <w:suppressAutoHyphens w:val="true"/>
        <w:rPr>
          <w:rFonts w:cs="Calibri" w:ascii="Calibri" w:hAnsi="Calibri"/>
          <w:b/>
          <w:sz w:val="20"/>
          <w:szCs w:val="20"/>
          <w:lang w:val="uk-UA"/>
        </w:rPr>
      </w:pPr>
      <w:r>
        <w:rPr>
          <w:rFonts w:cs="Calibri" w:ascii="Calibri" w:hAnsi="Calibri"/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</w:tabs>
        <w:suppressAutoHyphens w:val="true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</w:tabs>
        <w:suppressAutoHyphens w:val="true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  <w:t>2. ТАБЛИЦЯ ВІДПОВІДНОСТІ ВИМОГАМ ОГОЛОШЕННЯ</w:t>
      </w:r>
    </w:p>
    <w:p>
      <w:pPr>
        <w:pStyle w:val="NormalWeb"/>
        <w:spacing w:before="0" w:after="0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4677"/>
        <w:gridCol w:w="4405"/>
      </w:tblGrid>
      <w:tr>
        <w:trPr>
          <w:trHeight w:val="895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rPr>
                <w:rFonts w:eastAsia="Tahoma" w:cs="Tahoma" w:ascii="Tahoma" w:hAnsi="Tahoma"/>
                <w:b/>
                <w:sz w:val="20"/>
                <w:szCs w:val="20"/>
                <w:lang w:val="uk-UA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 w:cs="Tahoma" w:ascii="Tahoma" w:hAnsi="Tahoma"/>
                <w:b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 w:cs="Tahoma" w:ascii="Tahoma" w:hAnsi="Tahoma"/>
                <w:b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>
        <w:trPr>
          <w:trHeight w:val="274" w:hRule="atLeast"/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  <w:t>Наявність досвіду роботи (мінімум три роки) з надання послуг з розробки веб-порталів.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Виписка з ЄДР або аналогічний документ</w:t>
            </w:r>
          </w:p>
          <w:p>
            <w:pPr>
              <w:pStyle w:val="Normal"/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426" w:leader="none"/>
              </w:tabs>
              <w:jc w:val="both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426" w:leader="none"/>
              </w:tabs>
              <w:jc w:val="both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Референс-лист, що включає перелік корпоративних клієнтів з телефонами контактних осіб.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ind w:left="0" w:right="0" w:firstLine="360"/>
              <w:jc w:val="both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  <w:t>Додаток</w:t>
            </w:r>
            <w:r>
              <w:rPr>
                <w:rFonts w:cs="Tahoma" w:ascii="Tahoma" w:hAnsi="Tahoma"/>
                <w:sz w:val="20"/>
                <w:szCs w:val="20"/>
                <w:lang w:val="uk-UA"/>
              </w:rPr>
              <w:t xml:space="preserve"> № 1 до Тендерної пропозиції: «Референс-лист, що включає перелік корпоративних клієнтів з телефонами контактних осіб».</w:t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426" w:leader="none"/>
              </w:tabs>
              <w:jc w:val="both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426" w:leader="none"/>
              </w:tabs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Інформація щодо розроблених веб-сайтів за 2016 р.: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-426" w:leader="none"/>
              </w:tabs>
              <w:rPr>
                <w:rFonts w:eastAsia="Arial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" w:cs="Tahoma" w:ascii="Tahoma" w:hAnsi="Tahoma"/>
                <w:sz w:val="20"/>
                <w:szCs w:val="20"/>
                <w:lang w:val="uk-UA"/>
              </w:rPr>
              <w:t>Технології які використовувались при створенні веб-порталів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-426" w:leader="none"/>
              </w:tabs>
              <w:rPr>
                <w:rFonts w:eastAsia="Arial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" w:cs="Tahoma" w:ascii="Tahoma" w:hAnsi="Tahoma"/>
                <w:sz w:val="20"/>
                <w:szCs w:val="20"/>
                <w:lang w:val="uk-UA"/>
              </w:rPr>
              <w:t>Підтверджене портфоліо з розробки і супроводу веб-порталів, аналогічних за масштабом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ind w:left="0" w:right="0" w:firstLine="360"/>
              <w:jc w:val="both"/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val="uk-UA" w:eastAsia="en-US"/>
              </w:rPr>
              <w:t>Додаток</w:t>
            </w: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  <w:t xml:space="preserve"> № 2</w:t>
            </w:r>
            <w:r>
              <w:rPr>
                <w:rFonts w:cs="Tahoma" w:ascii="Tahoma" w:hAnsi="Tahom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  <w:lang w:val="uk-UA"/>
              </w:rPr>
              <w:t>до Тендерної пропозиції</w:t>
            </w: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  <w:t>:</w:t>
            </w:r>
            <w:r>
              <w:rPr>
                <w:rFonts w:eastAsia="Arial Unicode MS" w:cs="Tahoma" w:ascii="Tahoma" w:hAnsi="Tahoma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  <w:t>«Перелік, кількість та якість розроблених веб-порталів у 2016 р. та технології що були використані».</w:t>
            </w:r>
          </w:p>
          <w:p>
            <w:pPr>
              <w:pStyle w:val="Normal"/>
              <w:jc w:val="both"/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pPr>
            <w:r>
              <w:rPr>
                <w:rFonts w:eastAsia="Arial Unicode MS" w:cs="Tahoma" w:ascii="Tahoma" w:hAnsi="Tahoma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  <w:tab w:val="left" w:pos="709" w:leader="none"/>
                <w:tab w:val="left" w:pos="4040" w:leader="none"/>
                <w:tab w:val="left" w:pos="5460" w:leader="none"/>
                <w:tab w:val="left" w:pos="6100" w:leader="none"/>
                <w:tab w:val="left" w:pos="7780" w:leader="none"/>
                <w:tab w:val="left" w:pos="9280" w:leader="none"/>
              </w:tabs>
              <w:jc w:val="both"/>
              <w:rPr>
                <w:rFonts w:eastAsia="Arial" w:cs="Tahoma" w:ascii="Tahoma" w:hAnsi="Tahoma"/>
                <w:spacing w:val="-1"/>
                <w:position w:val="0"/>
                <w:sz w:val="20"/>
                <w:szCs w:val="20"/>
                <w:lang w:val="uk-UA"/>
              </w:rPr>
            </w:pPr>
            <w:r>
              <w:rPr>
                <w:rFonts w:eastAsia="Arial" w:cs="Tahoma" w:ascii="Tahoma" w:hAnsi="Tahoma"/>
                <w:spacing w:val="-1"/>
                <w:position w:val="0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Наявність в штаті компанії:</w:t>
            </w:r>
          </w:p>
          <w:p>
            <w:pPr>
              <w:pStyle w:val="Normal"/>
              <w:numPr>
                <w:ilvl w:val="0"/>
                <w:numId w:val="3"/>
              </w:numPr>
              <w:textAlignment w:val="baseline"/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  <w:t>Web-дизайнер</w:t>
            </w:r>
          </w:p>
          <w:p>
            <w:pPr>
              <w:pStyle w:val="Normal"/>
              <w:numPr>
                <w:ilvl w:val="0"/>
                <w:numId w:val="3"/>
              </w:numPr>
              <w:textAlignment w:val="baseline"/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  <w:t>Верстальник (досвід роботи 2+ роки, досвід роботи з адаптацією під популярні мобільні пристрої)</w:t>
            </w:r>
          </w:p>
          <w:p>
            <w:pPr>
              <w:pStyle w:val="Normal"/>
              <w:numPr>
                <w:ilvl w:val="0"/>
                <w:numId w:val="3"/>
              </w:numPr>
              <w:textAlignment w:val="baseline"/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  <w:t>Web-розробник (досвід роботи з сайтами побудованими на базі Laravel PHP Framework / October CMS)</w:t>
            </w:r>
          </w:p>
          <w:p>
            <w:pPr>
              <w:pStyle w:val="Normal"/>
              <w:numPr>
                <w:ilvl w:val="0"/>
                <w:numId w:val="3"/>
              </w:numPr>
              <w:textAlignment w:val="baseline"/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  <w:t>Розробник баз даних (</w:t>
            </w:r>
            <w:r>
              <w:rPr>
                <w:rFonts w:cs="Tahoma" w:ascii="Tahoma" w:hAnsi="Tahoma"/>
                <w:color w:val="000000"/>
                <w:sz w:val="20"/>
                <w:szCs w:val="20"/>
                <w:lang w:val="uk-UA" w:eastAsia="en-US"/>
              </w:rPr>
              <w:t xml:space="preserve">досвід роботи з </w:t>
            </w:r>
            <w:r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  <w:t>Elasticsearch, Lucene)</w:t>
            </w:r>
          </w:p>
          <w:p>
            <w:pPr>
              <w:pStyle w:val="Normal"/>
              <w:numPr>
                <w:ilvl w:val="0"/>
                <w:numId w:val="3"/>
              </w:numPr>
              <w:textAlignment w:val="baseline"/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  <w:lang w:val="en-US" w:eastAsia="en-US"/>
              </w:rPr>
              <w:t>Координатор проекту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>
        <w:trPr>
          <w:cantSplit w:val="fals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  <w:tab w:val="left" w:pos="709" w:leader="none"/>
                <w:tab w:val="left" w:pos="4040" w:leader="none"/>
                <w:tab w:val="left" w:pos="5460" w:leader="none"/>
                <w:tab w:val="left" w:pos="6100" w:leader="none"/>
                <w:tab w:val="left" w:pos="7780" w:leader="none"/>
                <w:tab w:val="left" w:pos="9280" w:leader="none"/>
              </w:tabs>
              <w:jc w:val="both"/>
              <w:rPr>
                <w:rFonts w:eastAsia="Arial" w:cs="Tahoma" w:ascii="Tahoma" w:hAnsi="Tahoma"/>
                <w:spacing w:val="-1"/>
                <w:position w:val="0"/>
                <w:sz w:val="20"/>
                <w:szCs w:val="20"/>
                <w:lang w:val="uk-UA"/>
              </w:rPr>
            </w:pPr>
            <w:r>
              <w:rPr>
                <w:rFonts w:eastAsia="Arial" w:cs="Tahoma" w:ascii="Tahoma" w:hAnsi="Tahoma"/>
                <w:spacing w:val="-1"/>
                <w:position w:val="0"/>
                <w:sz w:val="20"/>
                <w:szCs w:val="20"/>
                <w:lang w:val="uk-UA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cs="Tahoma" w:ascii="Tahoma" w:hAnsi="Tahoma"/>
                <w:sz w:val="20"/>
                <w:szCs w:val="20"/>
                <w:lang w:val="uk-UA"/>
              </w:rPr>
            </w:pPr>
            <w:r>
              <w:rPr>
                <w:rFonts w:cs="Tahoma" w:ascii="Tahoma" w:hAnsi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rPr>
                <w:rFonts w:eastAsia="Calibri" w:cs="Tahoma" w:ascii="Tahoma" w:hAnsi="Tahoma"/>
                <w:sz w:val="20"/>
                <w:szCs w:val="20"/>
                <w:lang w:eastAsia="en-US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val="uk-UA" w:eastAsia="en-US"/>
              </w:rPr>
              <w:t>Сканкопія Статуту</w:t>
            </w:r>
            <w:r>
              <w:rPr>
                <w:rFonts w:eastAsia="Calibri" w:cs="Tahoma" w:ascii="Tahoma" w:hAnsi="Tahoma"/>
                <w:sz w:val="20"/>
                <w:szCs w:val="20"/>
                <w:lang w:eastAsia="en-US"/>
              </w:rPr>
              <w:t xml:space="preserve"> (для юридичних ос</w:t>
            </w:r>
            <w:r>
              <w:rPr>
                <w:rFonts w:eastAsia="Calibri" w:cs="Tahoma" w:ascii="Tahoma" w:hAnsi="Tahoma"/>
                <w:sz w:val="20"/>
                <w:szCs w:val="20"/>
                <w:lang w:val="uk-UA" w:eastAsia="en-US"/>
              </w:rPr>
              <w:t>і</w:t>
            </w:r>
            <w:r>
              <w:rPr>
                <w:rFonts w:eastAsia="Calibri" w:cs="Tahoma" w:ascii="Tahoma" w:hAnsi="Tahoma"/>
                <w:sz w:val="20"/>
                <w:szCs w:val="20"/>
                <w:lang w:eastAsia="en-US"/>
              </w:rPr>
              <w:t>б)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eastAsia="Calibri" w:cs="Tahoma" w:ascii="Tahoma" w:hAnsi="Tahoma"/>
                <w:sz w:val="20"/>
                <w:szCs w:val="20"/>
                <w:lang w:eastAsia="en-US"/>
              </w:rPr>
            </w:pPr>
            <w:r>
              <w:rPr>
                <w:rFonts w:eastAsia="Calibri" w:cs="Tahoma" w:ascii="Tahoma" w:hAnsi="Tahoma"/>
                <w:sz w:val="20"/>
                <w:szCs w:val="20"/>
                <w:lang w:eastAsia="en-US"/>
              </w:rPr>
              <w:t>Документ, що підтверджує право на підписання договору.</w:t>
            </w:r>
          </w:p>
        </w:tc>
      </w:tr>
    </w:tbl>
    <w:p>
      <w:pPr>
        <w:pStyle w:val="Normal"/>
        <w:jc w:val="both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cs="Calibri" w:ascii="Calibri" w:hAnsi="Calibri"/>
          <w:b/>
          <w:color w:val="FF0000"/>
          <w:sz w:val="18"/>
          <w:szCs w:val="18"/>
          <w:lang w:val="uk-UA"/>
        </w:rPr>
      </w:pPr>
      <w:r>
        <w:rPr>
          <w:rFonts w:cs="Calibri" w:ascii="Calibri" w:hAnsi="Calibri"/>
          <w:b/>
          <w:color w:val="FF0000"/>
          <w:sz w:val="18"/>
          <w:szCs w:val="18"/>
          <w:lang w:val="uk-UA"/>
        </w:rPr>
      </w:r>
    </w:p>
    <w:p>
      <w:pPr>
        <w:pStyle w:val="Normal"/>
        <w:jc w:val="both"/>
        <w:rPr>
          <w:rFonts w:cs="Calibri" w:ascii="Calibri" w:hAnsi="Calibri"/>
          <w:b/>
          <w:color w:val="FF0000"/>
          <w:sz w:val="18"/>
          <w:szCs w:val="18"/>
          <w:lang w:val="uk-UA"/>
        </w:rPr>
      </w:pPr>
      <w:r>
        <w:rPr>
          <w:rFonts w:cs="Calibri" w:ascii="Calibri" w:hAnsi="Calibri"/>
          <w:b/>
          <w:color w:val="FF0000"/>
          <w:sz w:val="18"/>
          <w:szCs w:val="18"/>
          <w:lang w:val="uk-UA"/>
        </w:rPr>
      </w:r>
    </w:p>
    <w:p>
      <w:pPr>
        <w:pStyle w:val="Normal"/>
        <w:jc w:val="both"/>
        <w:rPr>
          <w:rFonts w:cs="Calibri" w:ascii="Calibri" w:hAnsi="Calibri"/>
          <w:b/>
          <w:color w:val="FF0000"/>
          <w:sz w:val="18"/>
          <w:szCs w:val="18"/>
          <w:vertAlign w:val="superscript"/>
          <w:lang w:val="uk-UA"/>
        </w:rPr>
      </w:pPr>
      <w:r>
        <w:rPr>
          <w:rFonts w:cs="Calibri" w:ascii="Calibri" w:hAnsi="Calibri"/>
          <w:b/>
          <w:color w:val="FF0000"/>
          <w:sz w:val="18"/>
          <w:szCs w:val="18"/>
          <w:vertAlign w:val="superscript"/>
          <w:lang w:val="uk-UA"/>
        </w:rPr>
      </w:r>
      <w:r>
        <w:pict>
          <v:rect fillcolor="#FFFFFF" style="position:absolute;width:480.8pt;height:106.35pt;mso-wrap-distance-left:0pt;mso-wrap-distance-right:9pt;margin-top:7.95pt;margin-left:-5.65pt">
            <v:fill opacity="0f"/>
            <v:textbox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nil"/>
                      <w:insideV w:val="nil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534"/>
                    <w:gridCol w:w="4677"/>
                    <w:gridCol w:w="4405"/>
                  </w:tblGrid>
                  <w:tr>
                    <w:trPr>
                      <w:cantSplit w:val="false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CCCCCC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rFonts w:eastAsia="Tahoma" w:cs="Tahoma" w:ascii="Tahoma" w:hAnsi="Tahoma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ahoma" w:cs="Tahoma" w:ascii="Tahoma" w:hAnsi="Tahoma"/>
                            <w:b/>
                            <w:sz w:val="20"/>
                            <w:szCs w:val="20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CCCCCC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rFonts w:eastAsia="Arial Unicode MS" w:cs="Tahoma" w:ascii="Tahoma" w:hAnsi="Tahoma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Arial Unicode MS" w:cs="Tahoma" w:ascii="Tahoma" w:hAnsi="Tahoma"/>
                            <w:b/>
                            <w:sz w:val="20"/>
                            <w:szCs w:val="20"/>
                            <w:lang w:val="uk-UA"/>
                          </w:rPr>
                          <w:t>Обов’язкові технічні вимоги до предмета закупівлі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CCCCCC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rFonts w:eastAsia="Arial Unicode MS" w:cs="Tahoma" w:ascii="Tahoma" w:hAnsi="Tahoma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Arial Unicode MS" w:cs="Tahoma" w:ascii="Tahoma" w:hAnsi="Tahoma"/>
                            <w:b/>
                            <w:sz w:val="20"/>
                            <w:szCs w:val="20"/>
                            <w:lang w:val="uk-UA"/>
                          </w:rPr>
                          <w:t>Документи, які підтверджують відповідність технічним вимогам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-426" w:leader="none"/>
                          </w:tabs>
                          <w:spacing w:before="0" w:after="0"/>
                          <w:contextualSpacing/>
                          <w:jc w:val="both"/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en-US" w:eastAsia="en-US"/>
                          </w:rPr>
                          <w:t>1</w:t>
                        </w:r>
                        <w:r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  <w:t>.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-426" w:leader="none"/>
                          </w:tabs>
                          <w:spacing w:before="0" w:after="0"/>
                          <w:contextualSpacing/>
                          <w:jc w:val="both"/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  <w:t>Оплата послуг здійснюється на умовах</w:t>
                        </w:r>
                      </w:p>
                      <w:p>
                        <w:pPr>
                          <w:pStyle w:val="Normal"/>
                          <w:tabs>
                            <w:tab w:val="left" w:pos="-426" w:leader="none"/>
                          </w:tabs>
                          <w:spacing w:before="0" w:after="0"/>
                          <w:contextualSpacing/>
                          <w:jc w:val="both"/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  <w:t>оплати по факту, після проведення робіт</w:t>
                        </w:r>
                        <w:r>
                          <w:rPr>
                            <w:rFonts w:eastAsia="Arial Unicode MS" w:cs="Tahoma" w:ascii="Tahoma" w:hAnsi="Tahoma"/>
                            <w:sz w:val="20"/>
                            <w:szCs w:val="20"/>
                            <w:lang w:val="uk-UA"/>
                          </w:rPr>
                          <w:t xml:space="preserve"> з </w:t>
                        </w:r>
                        <w:r>
                          <w:rPr>
                            <w:rFonts w:cs="Tahoma" w:ascii="Tahoma" w:hAnsi="Tahoma"/>
                            <w:bCs/>
                            <w:color w:val="000000"/>
                            <w:spacing w:val="-6"/>
                            <w:sz w:val="20"/>
                            <w:szCs w:val="20"/>
                            <w:lang w:val="en-US"/>
                          </w:rPr>
                          <w:t>розробк</w:t>
                        </w:r>
                        <w:r>
                          <w:rPr>
                            <w:rFonts w:cs="Tahoma" w:ascii="Tahoma" w:hAnsi="Tahoma"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и </w:t>
                        </w:r>
                        <w:r>
                          <w:rPr>
                            <w:rFonts w:cs="Tahoma" w:ascii="Tahoma" w:hAnsi="Tahoma"/>
                            <w:bCs/>
                            <w:color w:val="000000"/>
                            <w:spacing w:val="-6"/>
                            <w:sz w:val="20"/>
                            <w:szCs w:val="20"/>
                            <w:lang w:val="en-US"/>
                          </w:rPr>
                          <w:t>та тестування нового функціоналу Публічного Порталу</w:t>
                        </w:r>
                        <w:r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  <w:t>.</w:t>
                        </w:r>
                      </w:p>
                      <w:p>
                        <w:pPr>
                          <w:pStyle w:val="Normal"/>
                          <w:tabs>
                            <w:tab w:val="left" w:pos="-426" w:leader="none"/>
                          </w:tabs>
                          <w:spacing w:before="0" w:after="0"/>
                          <w:contextualSpacing/>
                          <w:jc w:val="both"/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</w:pPr>
                        <w:r>
                          <w:rPr>
                            <w:rFonts w:eastAsia="Arial" w:cs="Tahoma" w:ascii="Tahoma" w:hAnsi="Tahoma"/>
                            <w:sz w:val="20"/>
                            <w:szCs w:val="20"/>
                            <w:lang w:val="uk-UA" w:eastAsia="en-US"/>
                          </w:rPr>
                          <w:t xml:space="preserve">Авансовий платіж у розмірі не більше 50% можливий у разі, якщо загальний бюджет робіт перевищує 80 000 грн. 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auto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Normal"/>
                          <w:rPr>
                            <w:rFonts w:eastAsia="Arial Unicode MS" w:cs="Tahoma" w:ascii="Tahoma" w:hAnsi="Tahoma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Arial Unicode MS" w:cs="Tahoma" w:ascii="Tahoma" w:hAnsi="Tahoma"/>
                            <w:sz w:val="20"/>
                            <w:szCs w:val="20"/>
                            <w:lang w:val="uk-UA"/>
                          </w:rPr>
                          <w:t>Тендерна пропозиція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jc w:val="both"/>
        <w:rPr>
          <w:rFonts w:cs="Calibri" w:ascii="Calibri" w:hAnsi="Calibri"/>
          <w:sz w:val="18"/>
          <w:szCs w:val="18"/>
          <w:lang w:val="uk-UA"/>
        </w:rPr>
      </w:pPr>
      <w:r>
        <w:rPr>
          <w:rFonts w:cs="Calibri" w:ascii="Calibri" w:hAnsi="Calibri"/>
          <w:b/>
          <w:color w:val="FF0000"/>
          <w:sz w:val="18"/>
          <w:szCs w:val="18"/>
          <w:vertAlign w:val="superscript"/>
          <w:lang w:val="uk-UA"/>
        </w:rPr>
        <w:t xml:space="preserve">1 </w:t>
      </w:r>
      <w:r>
        <w:rPr>
          <w:rFonts w:cs="Calibri" w:ascii="Calibri" w:hAnsi="Calibri"/>
          <w:sz w:val="18"/>
          <w:szCs w:val="18"/>
          <w:lang w:val="uk-UA"/>
        </w:rPr>
        <w:t xml:space="preserve">Невідповідність тендерної пропозиції хоча б одній з технічних та кваліфікаційних вимог </w:t>
      </w:r>
      <w:r>
        <w:rPr>
          <w:rFonts w:cs="Calibri" w:ascii="Calibri" w:hAnsi="Calibri"/>
          <w:sz w:val="18"/>
          <w:szCs w:val="18"/>
          <w:u w:val="single"/>
          <w:lang w:val="uk-UA"/>
        </w:rPr>
        <w:t>призводить до автоматичної повної дискваліфікації такої тендерної пропозиції</w:t>
      </w:r>
      <w:r>
        <w:rPr>
          <w:rFonts w:cs="Calibri" w:ascii="Calibri" w:hAnsi="Calibri"/>
          <w:sz w:val="18"/>
          <w:szCs w:val="18"/>
          <w:lang w:val="uk-UA"/>
        </w:rPr>
        <w:t>.</w:t>
      </w:r>
    </w:p>
    <w:p>
      <w:pPr>
        <w:pStyle w:val="Normal"/>
        <w:jc w:val="both"/>
        <w:rPr>
          <w:rFonts w:cs="Calibri" w:ascii="Calibri" w:hAnsi="Calibri"/>
          <w:b/>
          <w:color w:val="FF0000"/>
          <w:sz w:val="18"/>
          <w:szCs w:val="18"/>
          <w:vertAlign w:val="superscript"/>
          <w:lang w:val="uk-UA"/>
        </w:rPr>
      </w:pPr>
      <w:r>
        <w:rPr>
          <w:rFonts w:cs="Calibri" w:ascii="Calibri" w:hAnsi="Calibri"/>
          <w:b/>
          <w:color w:val="FF0000"/>
          <w:sz w:val="18"/>
          <w:szCs w:val="18"/>
          <w:vertAlign w:val="superscript"/>
          <w:lang w:val="uk-UA"/>
        </w:rPr>
      </w:r>
    </w:p>
    <w:p>
      <w:pPr>
        <w:pStyle w:val="Normal"/>
        <w:jc w:val="both"/>
        <w:rPr>
          <w:rFonts w:cs="Calibri" w:ascii="Calibri" w:hAnsi="Calibri"/>
          <w:sz w:val="18"/>
          <w:szCs w:val="18"/>
          <w:lang w:val="uk-UA"/>
        </w:rPr>
      </w:pPr>
      <w:r>
        <w:rPr>
          <w:rFonts w:cs="Calibri" w:ascii="Calibri" w:hAnsi="Calibri"/>
          <w:b/>
          <w:color w:val="FF0000"/>
          <w:sz w:val="18"/>
          <w:szCs w:val="18"/>
          <w:vertAlign w:val="superscript"/>
          <w:lang w:val="uk-UA"/>
        </w:rPr>
        <w:t xml:space="preserve">2 </w:t>
      </w:r>
      <w:r>
        <w:rPr>
          <w:rFonts w:cs="Calibri" w:ascii="Calibri" w:hAnsi="Calibri"/>
          <w:sz w:val="18"/>
          <w:szCs w:val="18"/>
          <w:lang w:val="uk-UA"/>
        </w:rPr>
        <w:t>Підтвердити відповідність можна зазначивши у відповідній графі будь-яке слово згоди: «так», «погоджуємось», «відповідаємо» тощо.</w:t>
      </w:r>
    </w:p>
    <w:p>
      <w:pPr>
        <w:pStyle w:val="Normal"/>
        <w:jc w:val="both"/>
        <w:rPr>
          <w:rFonts w:cs="Tahoma" w:ascii="Tahoma" w:hAnsi="Tahoma"/>
          <w:color w:val="FF0000"/>
          <w:sz w:val="18"/>
          <w:szCs w:val="18"/>
          <w:u w:val="single"/>
          <w:vertAlign w:val="superscript"/>
          <w:lang w:val="uk-UA"/>
        </w:rPr>
      </w:pPr>
      <w:r>
        <w:rPr>
          <w:rFonts w:cs="Tahoma" w:ascii="Tahoma" w:hAnsi="Tahoma"/>
          <w:color w:val="FF0000"/>
          <w:sz w:val="18"/>
          <w:szCs w:val="18"/>
          <w:u w:val="single"/>
          <w:vertAlign w:val="superscript"/>
          <w:lang w:val="uk-UA"/>
        </w:rPr>
      </w:r>
    </w:p>
    <w:p>
      <w:pPr>
        <w:pStyle w:val="Normal"/>
        <w:jc w:val="both"/>
        <w:rPr>
          <w:rFonts w:cs="Tahoma" w:ascii="Tahoma" w:hAnsi="Tahoma"/>
          <w:sz w:val="18"/>
          <w:szCs w:val="18"/>
          <w:lang w:val="uk-UA"/>
        </w:rPr>
      </w:pPr>
      <w:r>
        <w:rPr>
          <w:rFonts w:cs="Tahoma" w:ascii="Tahoma" w:hAnsi="Tahoma"/>
          <w:color w:val="FF0000"/>
          <w:sz w:val="18"/>
          <w:szCs w:val="18"/>
          <w:u w:val="single"/>
          <w:vertAlign w:val="superscript"/>
          <w:lang w:val="uk-UA"/>
        </w:rPr>
        <w:t>3</w:t>
      </w:r>
      <w:r>
        <w:rPr>
          <w:rFonts w:cs="Tahoma" w:ascii="Tahoma" w:hAnsi="Tahoma"/>
          <w:sz w:val="20"/>
          <w:szCs w:val="20"/>
          <w:u w:val="single"/>
          <w:vertAlign w:val="superscript"/>
          <w:lang w:val="uk-UA"/>
        </w:rPr>
        <w:t xml:space="preserve"> </w:t>
      </w:r>
      <w:r>
        <w:rPr>
          <w:rFonts w:cs="Tahoma" w:ascii="Tahoma" w:hAnsi="Tahoma"/>
          <w:sz w:val="18"/>
          <w:szCs w:val="18"/>
          <w:u w:val="single"/>
          <w:lang w:val="uk-UA"/>
        </w:rPr>
        <w:t>При визначенні вартості послуг</w:t>
      </w:r>
      <w:r>
        <w:rPr>
          <w:rFonts w:cs="Tahoma" w:ascii="Tahoma" w:hAnsi="Tahoma"/>
          <w:b/>
          <w:sz w:val="18"/>
          <w:szCs w:val="18"/>
          <w:lang w:val="uk-UA"/>
        </w:rPr>
        <w:t xml:space="preserve"> </w:t>
      </w:r>
      <w:r>
        <w:rPr>
          <w:rFonts w:cs="Tahoma" w:ascii="Tahoma" w:hAnsi="Tahoma"/>
          <w:sz w:val="18"/>
          <w:szCs w:val="18"/>
          <w:lang w:val="uk-UA"/>
        </w:rPr>
        <w:t>див. пункт 9 розділу «Правила оформлення тендерної пропозиції учасника» Оголошення.</w:t>
      </w:r>
    </w:p>
    <w:p>
      <w:pPr>
        <w:pStyle w:val="Normal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</w:r>
    </w:p>
    <w:p>
      <w:pPr>
        <w:pStyle w:val="Normal"/>
        <w:jc w:val="both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  <w:t xml:space="preserve">Підписанням та поданням цієї тендерної пропозиції </w:t>
      </w:r>
      <w:r>
        <w:rPr>
          <w:rFonts w:cs="Tahoma" w:ascii="Tahoma" w:hAnsi="Tahoma"/>
          <w:color w:val="0F0FB9"/>
          <w:sz w:val="20"/>
          <w:szCs w:val="20"/>
          <w:lang w:val="uk-UA"/>
        </w:rPr>
        <w:t xml:space="preserve">[назва учасника] </w:t>
      </w:r>
      <w:r>
        <w:rPr>
          <w:rFonts w:cs="Tahoma" w:ascii="Tahoma" w:hAnsi="Tahoma"/>
          <w:b/>
          <w:sz w:val="20"/>
          <w:szCs w:val="20"/>
          <w:lang w:val="uk-UA"/>
        </w:rPr>
        <w:t>зобов’язується у випадку акцепту цієї пропозиції TI Україна: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</w:t>
      </w: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 xml:space="preserve">Україна в будь-який момент до завершення періоду її дії; 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>
      <w:pPr>
        <w:pStyle w:val="Normal"/>
        <w:tabs>
          <w:tab w:val="left" w:pos="0" w:leader="none"/>
        </w:tabs>
        <w:ind w:left="0" w:right="0" w:firstLine="540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</w:r>
    </w:p>
    <w:p>
      <w:pPr>
        <w:pStyle w:val="Normal"/>
        <w:tabs>
          <w:tab w:val="left" w:pos="-5387" w:leader="none"/>
        </w:tabs>
        <w:jc w:val="both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  <w:t>Підписанням та поданням цієї тендерної пропозиції учасник погоджується з наступним: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  <w:lang w:val="uk-UA"/>
        </w:rPr>
        <w:t xml:space="preserve">учасник ознайомлений з Оголошенням, яке опубліковано на веб-сайті </w:t>
      </w: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 xml:space="preserve">Україна </w:t>
      </w:r>
      <w:hyperlink r:id="rId2">
        <w:r>
          <w:rPr>
            <w:rStyle w:val="InternetLink"/>
            <w:rFonts w:cs="Tahoma" w:ascii="Tahoma" w:hAnsi="Tahoma"/>
            <w:sz w:val="20"/>
            <w:szCs w:val="20"/>
            <w:lang w:val="uk-UA"/>
          </w:rPr>
          <w:t>http://ti-ukraine.org/</w:t>
        </w:r>
      </w:hyperlink>
      <w:r>
        <w:rPr>
          <w:rFonts w:cs="Tahoma" w:ascii="Tahoma" w:hAnsi="Tahoma"/>
          <w:sz w:val="20"/>
          <w:szCs w:val="20"/>
        </w:rPr>
        <w:t>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 xml:space="preserve">Україна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>Україна не несе жодних зобов’язань по відношенню до учасників закупівлі або потенційних учасників закупівлі;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>Україна залишає за собою право відхилити тендерні пропозиції всіх учасників процедури закупівлі;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>Україна з переможцем тендеру;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>
        <w:rPr>
          <w:rFonts w:cs="Tahoma" w:ascii="Tahoma" w:hAnsi="Tahoma"/>
          <w:sz w:val="20"/>
          <w:szCs w:val="20"/>
          <w:lang w:val="en-US"/>
        </w:rPr>
        <w:t>TI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>Україна;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900" w:leader="none"/>
        </w:tabs>
        <w:ind w:left="0" w:right="0" w:firstLine="284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>
      <w:pPr>
        <w:pStyle w:val="Normal"/>
        <w:ind w:left="-426" w:right="0" w:hanging="0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</w:r>
    </w:p>
    <w:p>
      <w:pPr>
        <w:pStyle w:val="Normal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>
      <w:pPr>
        <w:pStyle w:val="Normal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</w:r>
    </w:p>
    <w:p>
      <w:pPr>
        <w:pStyle w:val="Heading1"/>
        <w:numPr>
          <w:ilvl w:val="0"/>
          <w:numId w:val="1"/>
        </w:numPr>
        <w:jc w:val="both"/>
        <w:rPr>
          <w:rFonts w:cs="Tahoma" w:ascii="Tahoma" w:hAnsi="Tahoma"/>
          <w:b w:val="false"/>
          <w:bCs w:val="false"/>
          <w:iCs w:val="false"/>
          <w:color w:val="0F0FB9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Уповноважений підписати тендерну пропозицію для та від імені </w:t>
      </w:r>
      <w:r>
        <w:rPr>
          <w:rFonts w:cs="Tahoma" w:ascii="Tahoma" w:hAnsi="Tahoma"/>
          <w:b w:val="false"/>
          <w:bCs w:val="false"/>
          <w:iCs w:val="false"/>
          <w:color w:val="0F0FB9"/>
          <w:sz w:val="20"/>
          <w:szCs w:val="20"/>
        </w:rPr>
        <w:t>[назва юридичної особи/ФОП]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згідно  </w:t>
      </w:r>
      <w:r>
        <w:rPr>
          <w:rFonts w:cs="Tahoma" w:ascii="Tahoma" w:hAnsi="Tahoma"/>
          <w:b w:val="false"/>
          <w:bCs w:val="false"/>
          <w:iCs w:val="false"/>
          <w:color w:val="0F0FB9"/>
          <w:sz w:val="20"/>
          <w:szCs w:val="20"/>
        </w:rPr>
        <w:t>[статуту або довіреності]:</w:t>
      </w:r>
    </w:p>
    <w:p>
      <w:pPr>
        <w:pStyle w:val="Normal"/>
        <w:tabs>
          <w:tab w:val="right" w:pos="8640" w:leader="none"/>
        </w:tabs>
        <w:suppressAutoHyphens w:val="true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</w:r>
    </w:p>
    <w:p>
      <w:pPr>
        <w:pStyle w:val="Normal"/>
        <w:tabs>
          <w:tab w:val="right" w:pos="8640" w:leader="none"/>
        </w:tabs>
        <w:suppressAutoHyphens w:val="true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</w:r>
    </w:p>
    <w:p>
      <w:pPr>
        <w:pStyle w:val="Normal"/>
        <w:tabs>
          <w:tab w:val="right" w:pos="8640" w:leader="none"/>
        </w:tabs>
        <w:suppressAutoHyphens w:val="true"/>
        <w:jc w:val="both"/>
        <w:rPr>
          <w:rFonts w:cs="Tahoma" w:ascii="Tahoma" w:hAnsi="Tahoma"/>
          <w:sz w:val="20"/>
          <w:szCs w:val="20"/>
          <w:lang w:val="uk-UA"/>
        </w:rPr>
      </w:pPr>
      <w:r>
        <w:rPr>
          <w:rFonts w:cs="Tahoma" w:ascii="Tahoma" w:hAnsi="Tahoma"/>
          <w:sz w:val="20"/>
          <w:szCs w:val="20"/>
          <w:lang w:val="uk-UA"/>
        </w:rPr>
      </w:r>
    </w:p>
    <w:p>
      <w:pPr>
        <w:pStyle w:val="Normal"/>
        <w:tabs>
          <w:tab w:val="right" w:pos="8640" w:leader="none"/>
        </w:tabs>
        <w:suppressAutoHyphens w:val="true"/>
        <w:jc w:val="both"/>
        <w:rPr>
          <w:rFonts w:cs="Tahoma"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  <w:lang w:val="uk-UA"/>
        </w:rPr>
        <w:t xml:space="preserve"> </w:t>
      </w:r>
      <w:r>
        <w:rPr>
          <w:rFonts w:cs="Tahoma" w:ascii="Tahoma" w:hAnsi="Tahoma"/>
          <w:sz w:val="20"/>
          <w:szCs w:val="20"/>
          <w:lang w:val="uk-UA"/>
        </w:rPr>
        <w:t>_______</w:t>
      </w:r>
      <w:r>
        <w:rPr>
          <w:rFonts w:cs="Tahoma" w:ascii="Tahoma" w:hAnsi="Tahoma"/>
          <w:sz w:val="20"/>
          <w:szCs w:val="20"/>
          <w:u w:val="single"/>
          <w:lang w:val="uk-UA"/>
        </w:rPr>
        <w:t xml:space="preserve">___________________ </w:t>
      </w:r>
      <w:r>
        <w:rPr>
          <w:rFonts w:cs="Tahoma" w:ascii="Tahoma" w:hAnsi="Tahoma"/>
          <w:sz w:val="20"/>
          <w:szCs w:val="20"/>
          <w:lang w:val="uk-UA"/>
        </w:rPr>
        <w:t xml:space="preserve">                     </w:t>
      </w:r>
      <w:r>
        <w:rPr>
          <w:rFonts w:cs="Tahoma" w:ascii="Tahoma" w:hAnsi="Tahoma"/>
          <w:sz w:val="20"/>
          <w:szCs w:val="20"/>
          <w:u w:val="single"/>
          <w:lang w:val="uk-UA"/>
        </w:rPr>
        <w:t>_________________________</w:t>
      </w:r>
      <w:r>
        <w:rPr>
          <w:rFonts w:cs="Tahoma" w:ascii="Tahoma" w:hAnsi="Tahoma"/>
          <w:sz w:val="20"/>
          <w:szCs w:val="20"/>
          <w:lang w:val="uk-UA"/>
        </w:rPr>
        <w:t xml:space="preserve">                  </w:t>
        <w:tab/>
        <w:t xml:space="preserve">  </w:t>
      </w:r>
      <w:r>
        <w:rPr>
          <w:rFonts w:cs="Tahoma" w:ascii="Tahoma" w:hAnsi="Tahoma"/>
          <w:sz w:val="20"/>
          <w:szCs w:val="20"/>
        </w:rPr>
        <w:t>[</w:t>
      </w:r>
      <w:r>
        <w:rPr>
          <w:rFonts w:cs="Tahoma" w:ascii="Tahoma" w:hAnsi="Tahoma"/>
          <w:sz w:val="20"/>
          <w:szCs w:val="20"/>
          <w:lang w:val="uk-UA"/>
        </w:rPr>
        <w:t>Дата</w:t>
      </w:r>
      <w:r>
        <w:rPr>
          <w:rFonts w:cs="Tahoma" w:ascii="Tahoma" w:hAnsi="Tahoma"/>
          <w:sz w:val="20"/>
          <w:szCs w:val="20"/>
        </w:rPr>
        <w:t>]</w:t>
      </w:r>
    </w:p>
    <w:p>
      <w:pPr>
        <w:pStyle w:val="Heading1"/>
        <w:numPr>
          <w:ilvl w:val="0"/>
          <w:numId w:val="1"/>
        </w:numPr>
        <w:ind w:left="0" w:right="0" w:firstLine="708"/>
        <w:jc w:val="left"/>
        <w:rPr>
          <w:rFonts w:cs="Tahoma" w:ascii="Tahoma" w:hAnsi="Tahoma"/>
          <w:b w:val="false"/>
          <w:sz w:val="20"/>
          <w:szCs w:val="20"/>
        </w:rPr>
      </w:pPr>
      <w:r>
        <w:rPr>
          <w:rFonts w:cs="Tahoma" w:ascii="Tahoma" w:hAnsi="Tahoma"/>
          <w:sz w:val="20"/>
          <w:szCs w:val="20"/>
          <w:lang w:val="ru-RU"/>
        </w:rPr>
        <w:t>[</w:t>
      </w:r>
      <w:r>
        <w:rPr>
          <w:rFonts w:cs="Tahoma" w:ascii="Tahoma" w:hAnsi="Tahoma"/>
          <w:sz w:val="20"/>
          <w:szCs w:val="20"/>
        </w:rPr>
        <w:t>ПІБ, посада</w:t>
      </w:r>
      <w:r>
        <w:rPr>
          <w:rFonts w:cs="Tahoma" w:ascii="Tahoma" w:hAnsi="Tahoma"/>
          <w:sz w:val="20"/>
          <w:szCs w:val="20"/>
          <w:lang w:val="ru-RU"/>
        </w:rPr>
        <w:t>]</w:t>
        <w:tab/>
        <w:tab/>
        <w:tab/>
        <w:tab/>
        <w:tab/>
      </w:r>
      <w:r>
        <w:rPr>
          <w:rFonts w:cs="Tahoma" w:ascii="Tahoma" w:hAnsi="Tahoma"/>
          <w:b w:val="false"/>
          <w:sz w:val="20"/>
          <w:szCs w:val="20"/>
        </w:rPr>
        <w:t xml:space="preserve">[підпис]                      </w:t>
      </w:r>
    </w:p>
    <w:p>
      <w:pPr>
        <w:pStyle w:val="Normal"/>
        <w:rPr>
          <w:rFonts w:cs="Tahoma" w:ascii="Tahoma" w:hAnsi="Tahoma"/>
          <w:bCs/>
          <w:iCs/>
          <w:sz w:val="20"/>
          <w:szCs w:val="20"/>
          <w:lang w:val="uk-UA"/>
        </w:rPr>
      </w:pPr>
      <w:r>
        <w:rPr>
          <w:rFonts w:cs="Tahoma" w:ascii="Tahoma" w:hAnsi="Tahoma"/>
          <w:bCs/>
          <w:iCs/>
          <w:sz w:val="20"/>
          <w:szCs w:val="20"/>
          <w:lang w:val="uk-UA"/>
        </w:rPr>
      </w:r>
    </w:p>
    <w:p>
      <w:pPr>
        <w:pStyle w:val="Normal"/>
        <w:rPr>
          <w:rFonts w:cs="Tahoma" w:ascii="Tahoma" w:hAnsi="Tahoma"/>
          <w:b/>
          <w:bCs/>
          <w:iCs/>
          <w:sz w:val="20"/>
          <w:szCs w:val="20"/>
        </w:rPr>
      </w:pPr>
      <w:r>
        <w:rPr>
          <w:rFonts w:cs="Tahoma" w:ascii="Tahoma" w:hAnsi="Tahoma"/>
          <w:b/>
          <w:bCs/>
          <w:iCs/>
          <w:sz w:val="20"/>
          <w:szCs w:val="20"/>
        </w:rPr>
        <w:t>[</w:t>
      </w:r>
      <w:r>
        <w:rPr>
          <w:rFonts w:cs="Tahoma" w:ascii="Tahoma" w:hAnsi="Tahoma"/>
          <w:b/>
          <w:bCs/>
          <w:iCs/>
          <w:sz w:val="20"/>
          <w:szCs w:val="20"/>
          <w:lang w:val="uk-UA"/>
        </w:rPr>
        <w:t>М.П.</w:t>
      </w:r>
      <w:r>
        <w:rPr>
          <w:rFonts w:cs="Tahoma" w:ascii="Tahoma" w:hAnsi="Tahoma"/>
          <w:b/>
          <w:bCs/>
          <w:iCs/>
          <w:sz w:val="20"/>
          <w:szCs w:val="20"/>
        </w:rPr>
        <w:t>]</w:t>
      </w:r>
    </w:p>
    <w:p>
      <w:pPr>
        <w:pStyle w:val="Normal"/>
        <w:tabs>
          <w:tab w:val="right" w:pos="3600" w:leader="none"/>
          <w:tab w:val="right" w:pos="4320" w:leader="none"/>
          <w:tab w:val="right" w:pos="8640" w:leader="none"/>
        </w:tabs>
        <w:suppressAutoHyphens w:val="true"/>
        <w:jc w:val="both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</w:r>
    </w:p>
    <w:p>
      <w:pPr>
        <w:pStyle w:val="Normal"/>
        <w:tabs>
          <w:tab w:val="right" w:pos="3600" w:leader="none"/>
          <w:tab w:val="right" w:pos="4320" w:leader="none"/>
          <w:tab w:val="right" w:pos="8640" w:leader="none"/>
        </w:tabs>
        <w:suppressAutoHyphens w:val="true"/>
        <w:jc w:val="both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</w:r>
    </w:p>
    <w:p>
      <w:pPr>
        <w:pStyle w:val="Normal"/>
        <w:tabs>
          <w:tab w:val="right" w:pos="3600" w:leader="none"/>
          <w:tab w:val="right" w:pos="4320" w:leader="none"/>
          <w:tab w:val="right" w:pos="8640" w:leader="none"/>
        </w:tabs>
        <w:suppressAutoHyphens w:val="true"/>
        <w:jc w:val="both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</w:r>
    </w:p>
    <w:p>
      <w:pPr>
        <w:pStyle w:val="Normal"/>
        <w:tabs>
          <w:tab w:val="right" w:pos="3600" w:leader="none"/>
          <w:tab w:val="right" w:pos="4320" w:leader="none"/>
          <w:tab w:val="right" w:pos="8640" w:leader="none"/>
        </w:tabs>
        <w:suppressAutoHyphens w:val="true"/>
        <w:jc w:val="both"/>
        <w:rPr>
          <w:rFonts w:cs="Tahoma" w:ascii="Tahoma" w:hAnsi="Tahoma"/>
          <w:b/>
          <w:sz w:val="20"/>
          <w:szCs w:val="20"/>
          <w:lang w:val="uk-UA"/>
        </w:rPr>
      </w:pPr>
      <w:r>
        <w:rPr>
          <w:rFonts w:cs="Tahoma" w:ascii="Tahoma" w:hAnsi="Tahoma"/>
          <w:b/>
          <w:sz w:val="20"/>
          <w:szCs w:val="20"/>
          <w:lang w:val="uk-UA"/>
        </w:rPr>
        <w:t>Перелік підтверджуючих документів, які додаються до пропозиції:</w:t>
      </w:r>
    </w:p>
    <w:sectPr>
      <w:footerReference w:type="default" r:id="rId3"/>
      <w:type w:val="nextPage"/>
      <w:pgSz w:w="11906" w:h="16838"/>
      <w:pgMar w:left="1276" w:right="746" w:header="0" w:top="709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Tahoma">
    <w:charset w:val="00"/>
    <w:family w:val="auto"/>
    <w:pitch w:val="variable"/>
  </w:font>
  <w:font w:name="Calibri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00"/>
    <w:family w:val="auto"/>
    <w:pitch w:val="variable"/>
  </w:font>
  <w:font w:name="Arial Unicode MS">
    <w:charset w:val="00"/>
    <w:family w:val="swiss"/>
    <w:pitch w:val="variable"/>
  </w:font>
  <w:font w:name="Courier New">
    <w:charset w:val="00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widowControl w:val="false"/>
      <w:numPr>
        <w:ilvl w:val="0"/>
        <w:numId w:val="1"/>
      </w:numPr>
      <w:spacing w:lineRule="atLeast" w:line="240"/>
      <w:jc w:val="right"/>
      <w:outlineLvl w:val="0"/>
      <w:outlineLvl w:val="0"/>
    </w:pPr>
    <w:rPr>
      <w:b/>
      <w:bCs/>
      <w:iCs/>
      <w:sz w:val="18"/>
      <w:lang w:val="uk-UA"/>
    </w:rPr>
  </w:style>
  <w:style w:type="character" w:styleId="WW8Num1z0">
    <w:name w:val="WW8Num1z0"/>
    <w:rPr>
      <w:rFonts w:ascii="Symbol" w:hAnsi="Symbol" w:cs="Symbol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2z0">
    <w:name w:val="WW8Num2z0"/>
    <w:rPr>
      <w:rFonts w:ascii="Symbol" w:hAnsi="Symbol" w:eastAsia="Arial Unicode MS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Wingdings" w:hAnsi="Wingdings" w:cs="Wingdings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3">
    <w:name w:val="WW8Num4z3"/>
    <w:rPr>
      <w:rFonts w:ascii="Symbol" w:hAnsi="Symbol" w:cs="Symbol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>
      <w:rFonts w:ascii="Symbol" w:hAnsi="Symbol" w:cs="Symbol"/>
    </w:rPr>
  </w:style>
  <w:style w:type="character" w:styleId="WW8Num6z2">
    <w:name w:val="WW8Num6z2"/>
    <w:rPr>
      <w:rFonts w:ascii="Times New Roman" w:hAnsi="Times New Roman" w:eastAsia="Times New Roman" w:cs="Times New Roman"/>
    </w:rPr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rFonts w:ascii="Wingdings" w:hAnsi="Wingdings" w:cs="Wingdings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>
      <w:rFonts w:ascii="Tahoma" w:hAnsi="Tahoma" w:eastAsia="Times New Roman" w:cs="Tahoma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cs="Times New Roman"/>
    </w:rPr>
  </w:style>
  <w:style w:type="character" w:styleId="WW8Num13z0">
    <w:name w:val="WW8Num13z0"/>
    <w:rPr>
      <w:rFonts w:ascii="Symbol" w:hAnsi="Symbol" w:cs="Symbol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Symbol" w:hAnsi="Symbol" w:cs="Symbo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6z0">
    <w:name w:val="WW8Num16z0"/>
    <w:rPr>
      <w:rFonts w:ascii="Symbol" w:hAnsi="Symbol" w:cs="Symbol"/>
      <w:sz w:val="20"/>
      <w:lang w:val="en-US"/>
    </w:rPr>
  </w:style>
  <w:style w:type="character" w:styleId="WW8Num16z1">
    <w:name w:val="WW8Num16z1"/>
    <w:rPr>
      <w:rFonts w:ascii="Courier New" w:hAnsi="Courier New" w:cs="Courier New"/>
      <w:sz w:val="20"/>
    </w:rPr>
  </w:style>
  <w:style w:type="character" w:styleId="WW8Num16z2">
    <w:name w:val="WW8Num16z2"/>
    <w:rPr>
      <w:rFonts w:ascii="Wingdings" w:hAnsi="Wingdings" w:cs="Wingdings"/>
      <w:sz w:val="20"/>
    </w:rPr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Symbol" w:hAnsi="Symbol" w:cs="Symbol"/>
      <w:sz w:val="20"/>
      <w:szCs w:val="20"/>
      <w:lang w:val="uk-UA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20z0">
    <w:name w:val="WW8Num20z0"/>
    <w:rPr>
      <w:rFonts w:ascii="Symbol" w:hAnsi="Symbol" w:eastAsia="Arial Unicode MS" w:cs="Symbol"/>
      <w:sz w:val="20"/>
      <w:szCs w:val="20"/>
      <w:lang w:val="uk-UA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1z0">
    <w:name w:val="WW8Num21z0"/>
    <w:rPr>
      <w:rFonts w:ascii="Tahoma" w:hAnsi="Tahoma" w:eastAsia="Times New Roman" w:cs="Tahoma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1z3">
    <w:name w:val="WW8Num21z3"/>
    <w:rPr>
      <w:rFonts w:ascii="Symbol" w:hAnsi="Symbol" w:cs="Symbol"/>
    </w:rPr>
  </w:style>
  <w:style w:type="character" w:styleId="WW8Num22z0">
    <w:name w:val="WW8Num22z0"/>
    <w:rPr>
      <w:rFonts w:ascii="Symbol" w:hAnsi="Symbol" w:cs="Symbol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character" w:styleId="WW8Num23z0">
    <w:name w:val="WW8Num23z0"/>
    <w:rPr>
      <w:rFonts w:ascii="Courier New" w:hAnsi="Courier New" w:cs="Courier New"/>
    </w:rPr>
  </w:style>
  <w:style w:type="character" w:styleId="WW8Num23z2">
    <w:name w:val="WW8Num23z2"/>
    <w:rPr>
      <w:rFonts w:ascii="Wingdings" w:hAnsi="Wingdings" w:cs="Wingdings"/>
    </w:rPr>
  </w:style>
  <w:style w:type="character" w:styleId="WW8Num23z3">
    <w:name w:val="WW8Num23z3"/>
    <w:rPr>
      <w:rFonts w:ascii="Symbol" w:hAnsi="Symbol" w:cs="Symbol"/>
    </w:rPr>
  </w:style>
  <w:style w:type="character" w:styleId="WW8Num24z0">
    <w:name w:val="WW8Num24z0"/>
    <w:rPr>
      <w:rFonts w:ascii="Symbol" w:hAnsi="Symbol" w:cs="Symbol"/>
    </w:rPr>
  </w:style>
  <w:style w:type="character" w:styleId="WW8Num24z1">
    <w:name w:val="WW8Num24z1"/>
    <w:rPr>
      <w:rFonts w:ascii="Courier New" w:hAnsi="Courier New" w:cs="Courier New"/>
    </w:rPr>
  </w:style>
  <w:style w:type="character" w:styleId="WW8Num24z2">
    <w:name w:val="WW8Num24z2"/>
    <w:rPr>
      <w:rFonts w:ascii="Wingdings" w:hAnsi="Wingdings" w:cs="Wingdings"/>
    </w:rPr>
  </w:style>
  <w:style w:type="character" w:styleId="WW8Num25z0">
    <w:name w:val="WW8Num25z0"/>
    <w:rPr>
      <w:rFonts w:ascii="Calibri" w:hAnsi="Calibri" w:eastAsia="Arial Unicode MS" w:cs="Calibri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25z3">
    <w:name w:val="WW8Num25z3"/>
    <w:rPr>
      <w:rFonts w:ascii="Symbol" w:hAnsi="Symbol" w:cs="Symbol"/>
    </w:rPr>
  </w:style>
  <w:style w:type="character" w:styleId="WW8Num26z0">
    <w:name w:val="WW8Num26z0"/>
    <w:rPr>
      <w:rFonts w:ascii="Symbol" w:hAnsi="Symbol" w:cs="Symbol"/>
    </w:rPr>
  </w:style>
  <w:style w:type="character" w:styleId="WW8Num26z1">
    <w:name w:val="WW8Num26z1"/>
    <w:rPr>
      <w:rFonts w:ascii="Courier New" w:hAnsi="Courier New" w:cs="Courier New"/>
    </w:rPr>
  </w:style>
  <w:style w:type="character" w:styleId="WW8Num26z2">
    <w:name w:val="WW8Num26z2"/>
    <w:rPr>
      <w:rFonts w:ascii="Wingdings" w:hAnsi="Wingdings" w:cs="Wingdings"/>
    </w:rPr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>
      <w:rFonts w:ascii="Wingdings" w:hAnsi="Wingdings" w:cs="Wingdings"/>
    </w:rPr>
  </w:style>
  <w:style w:type="character" w:styleId="WW8Num29z1">
    <w:name w:val="WW8Num29z1"/>
    <w:rPr>
      <w:rFonts w:ascii="Courier New" w:hAnsi="Courier New" w:cs="Courier New"/>
    </w:rPr>
  </w:style>
  <w:style w:type="character" w:styleId="WW8Num29z3">
    <w:name w:val="WW8Num29z3"/>
    <w:rPr>
      <w:rFonts w:ascii="Symbol" w:hAnsi="Symbol" w:cs="Symbol"/>
    </w:rPr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>
      <w:rFonts w:ascii="Tahoma" w:hAnsi="Tahoma" w:eastAsia="Times New Roman" w:cs="Tahoma"/>
    </w:rPr>
  </w:style>
  <w:style w:type="character" w:styleId="WW8Num31z1">
    <w:name w:val="WW8Num31z1"/>
    <w:rPr>
      <w:rFonts w:ascii="Courier New" w:hAnsi="Courier New" w:cs="Courier New"/>
    </w:rPr>
  </w:style>
  <w:style w:type="character" w:styleId="WW8Num31z2">
    <w:name w:val="WW8Num31z2"/>
    <w:rPr>
      <w:rFonts w:ascii="Wingdings" w:hAnsi="Wingdings" w:cs="Wingdings"/>
    </w:rPr>
  </w:style>
  <w:style w:type="character" w:styleId="WW8Num31z3">
    <w:name w:val="WW8Num31z3"/>
    <w:rPr>
      <w:rFonts w:ascii="Symbol" w:hAnsi="Symbol" w:cs="Symbol"/>
    </w:rPr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>
      <w:rFonts w:ascii="Symbol" w:hAnsi="Symbol" w:cs="Symbol"/>
    </w:rPr>
  </w:style>
  <w:style w:type="character" w:styleId="WW8Num33z1">
    <w:name w:val="WW8Num33z1"/>
    <w:rPr>
      <w:rFonts w:ascii="Courier New" w:hAnsi="Courier New" w:cs="Courier New"/>
    </w:rPr>
  </w:style>
  <w:style w:type="character" w:styleId="WW8Num33z2">
    <w:name w:val="WW8Num33z2"/>
    <w:rPr>
      <w:rFonts w:ascii="Wingdings" w:hAnsi="Wingdings" w:cs="Wingdings"/>
    </w:rPr>
  </w:style>
  <w:style w:type="character" w:styleId="WW8Num34z0">
    <w:name w:val="WW8Num34z0"/>
    <w:rPr>
      <w:rFonts w:ascii="Times New Roman" w:hAnsi="Times New Roman" w:eastAsia="Times New Roman" w:cs="Times New Roman"/>
    </w:rPr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WW8Num35z0">
    <w:name w:val="WW8Num35z0"/>
    <w:rPr>
      <w:rFonts w:ascii="Wingdings" w:hAnsi="Wingdings" w:cs="Wingdings"/>
    </w:rPr>
  </w:style>
  <w:style w:type="character" w:styleId="WW8Num35z1">
    <w:name w:val="WW8Num35z1"/>
    <w:rPr>
      <w:rFonts w:ascii="Courier New" w:hAnsi="Courier New" w:cs="Courier New"/>
    </w:rPr>
  </w:style>
  <w:style w:type="character" w:styleId="WW8Num35z3">
    <w:name w:val="WW8Num35z3"/>
    <w:rPr>
      <w:rFonts w:ascii="Symbol" w:hAnsi="Symbol" w:cs="Symbol"/>
    </w:rPr>
  </w:style>
  <w:style w:type="character" w:styleId="WW8Num36z0">
    <w:name w:val="WW8Num36z0"/>
    <w:rPr/>
  </w:style>
  <w:style w:type="character" w:styleId="WW8Num36z1">
    <w:name w:val="WW8Num36z1"/>
    <w:rPr/>
  </w:style>
  <w:style w:type="character" w:styleId="WW8Num36z2">
    <w:name w:val="WW8Num36z2"/>
    <w:rPr/>
  </w:style>
  <w:style w:type="character" w:styleId="WW8Num36z3">
    <w:name w:val="WW8Num36z3"/>
    <w:rPr/>
  </w:style>
  <w:style w:type="character" w:styleId="WW8Num36z4">
    <w:name w:val="WW8Num36z4"/>
    <w:rPr/>
  </w:style>
  <w:style w:type="character" w:styleId="WW8Num36z5">
    <w:name w:val="WW8Num36z5"/>
    <w:rPr/>
  </w:style>
  <w:style w:type="character" w:styleId="WW8Num36z6">
    <w:name w:val="WW8Num36z6"/>
    <w:rPr/>
  </w:style>
  <w:style w:type="character" w:styleId="WW8Num36z7">
    <w:name w:val="WW8Num36z7"/>
    <w:rPr/>
  </w:style>
  <w:style w:type="character" w:styleId="WW8Num36z8">
    <w:name w:val="WW8Num36z8"/>
    <w:rPr/>
  </w:style>
  <w:style w:type="character" w:styleId="WW8Num37z0">
    <w:name w:val="WW8Num37z0"/>
    <w:rPr>
      <w:rFonts w:ascii="Symbol" w:hAnsi="Symbol" w:cs="Symbol"/>
    </w:rPr>
  </w:style>
  <w:style w:type="character" w:styleId="WW8Num37z1">
    <w:name w:val="WW8Num37z1"/>
    <w:rPr>
      <w:rFonts w:ascii="Courier New" w:hAnsi="Courier New" w:cs="Courier New"/>
    </w:rPr>
  </w:style>
  <w:style w:type="character" w:styleId="WW8Num37z2">
    <w:name w:val="WW8Num37z2"/>
    <w:rPr>
      <w:rFonts w:ascii="Wingdings" w:hAnsi="Wingdings" w:cs="Wingdings"/>
    </w:rPr>
  </w:style>
  <w:style w:type="character" w:styleId="WW8Num38z0">
    <w:name w:val="WW8Num38z0"/>
    <w:rPr/>
  </w:style>
  <w:style w:type="character" w:styleId="WW8Num38z1">
    <w:name w:val="WW8Num38z1"/>
    <w:rPr/>
  </w:style>
  <w:style w:type="character" w:styleId="WW8Num38z2">
    <w:name w:val="WW8Num38z2"/>
    <w:rPr/>
  </w:style>
  <w:style w:type="character" w:styleId="WW8Num38z3">
    <w:name w:val="WW8Num38z3"/>
    <w:rPr/>
  </w:style>
  <w:style w:type="character" w:styleId="WW8Num38z4">
    <w:name w:val="WW8Num38z4"/>
    <w:rPr/>
  </w:style>
  <w:style w:type="character" w:styleId="WW8Num38z5">
    <w:name w:val="WW8Num38z5"/>
    <w:rPr/>
  </w:style>
  <w:style w:type="character" w:styleId="WW8Num38z6">
    <w:name w:val="WW8Num38z6"/>
    <w:rPr/>
  </w:style>
  <w:style w:type="character" w:styleId="WW8Num38z7">
    <w:name w:val="WW8Num38z7"/>
    <w:rPr/>
  </w:style>
  <w:style w:type="character" w:styleId="WW8Num38z8">
    <w:name w:val="WW8Num38z8"/>
    <w:rPr/>
  </w:style>
  <w:style w:type="character" w:styleId="WW8Num39z0">
    <w:name w:val="WW8Num39z0"/>
    <w:rPr>
      <w:rFonts w:ascii="Symbol" w:hAnsi="Symbol" w:cs="Symbol"/>
    </w:rPr>
  </w:style>
  <w:style w:type="character" w:styleId="WW8Num39z1">
    <w:name w:val="WW8Num39z1"/>
    <w:rPr>
      <w:rFonts w:ascii="Courier New" w:hAnsi="Courier New" w:cs="Courier New"/>
    </w:rPr>
  </w:style>
  <w:style w:type="character" w:styleId="WW8Num39z2">
    <w:name w:val="WW8Num39z2"/>
    <w:rPr>
      <w:rFonts w:ascii="Wingdings" w:hAnsi="Wingdings" w:cs="Wingdings"/>
    </w:rPr>
  </w:style>
  <w:style w:type="character" w:styleId="WW8Num40z0">
    <w:name w:val="WW8Num40z0"/>
    <w:rPr>
      <w:rFonts w:ascii="Symbol" w:hAnsi="Symbol" w:cs="Symbol"/>
    </w:rPr>
  </w:style>
  <w:style w:type="character" w:styleId="WW8Num40z1">
    <w:name w:val="WW8Num40z1"/>
    <w:rPr>
      <w:rFonts w:ascii="Courier New" w:hAnsi="Courier New" w:cs="Courier New"/>
    </w:rPr>
  </w:style>
  <w:style w:type="character" w:styleId="WW8Num40z2">
    <w:name w:val="WW8Num40z2"/>
    <w:rPr>
      <w:rFonts w:ascii="Wingdings" w:hAnsi="Wingdings" w:cs="Wingdings"/>
    </w:rPr>
  </w:style>
  <w:style w:type="character" w:styleId="DefaultParagraphFont">
    <w:name w:val="Default Paragraph Font"/>
    <w:rPr/>
  </w:style>
  <w:style w:type="character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  <w:rPr/>
  </w:style>
  <w:style w:type="character" w:styleId="EndnoteTextChar">
    <w:name w:val="Endnote Text Char"/>
    <w:rPr>
      <w:lang w:val="ru-RU"/>
    </w:rPr>
  </w:style>
  <w:style w:type="character" w:styleId="EndnoteCharacters">
    <w:name w:val="Endnote Characters"/>
    <w:rPr>
      <w:vertAlign w:val="superscript"/>
    </w:rPr>
  </w:style>
  <w:style w:type="character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styleId="BodyText2Char">
    <w:name w:val="Body Text 2 Char"/>
    <w:rPr>
      <w:sz w:val="24"/>
      <w:szCs w:val="24"/>
      <w:lang w:val="ru-RU"/>
    </w:rPr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rPr>
      <w:sz w:val="24"/>
      <w:szCs w:val="24"/>
      <w:lang w:val="ru-RU"/>
    </w:rPr>
  </w:style>
  <w:style w:type="character" w:styleId="FooterChar">
    <w:name w:val="Footer Char"/>
    <w:rPr>
      <w:sz w:val="24"/>
      <w:szCs w:val="24"/>
      <w:lang w:val="ru-RU"/>
    </w:rPr>
  </w:style>
  <w:style w:type="character" w:styleId="FootnoteTextChar">
    <w:name w:val="Footnote Text Char"/>
    <w:rPr>
      <w:lang w:val="ru-RU"/>
    </w:rPr>
  </w:style>
  <w:style w:type="character" w:styleId="Emphasis">
    <w:name w:val="Emphasis"/>
    <w:rPr>
      <w:b/>
      <w:bCs/>
      <w:i w:val="false"/>
      <w:iCs w:val="false"/>
    </w:rPr>
  </w:style>
  <w:style w:type="character" w:styleId="StrongEmphasis">
    <w:name w:val="Strong Emphasis"/>
    <w:rPr>
      <w:b/>
      <w:bCs/>
    </w:rPr>
  </w:style>
  <w:style w:type="character" w:styleId="Shorttext">
    <w:name w:val="short_text"/>
    <w:rPr/>
  </w:style>
  <w:style w:type="character" w:styleId="Hps">
    <w:name w:val="hps"/>
    <w:rPr/>
  </w:style>
  <w:style w:type="character" w:styleId="BodyTextChar">
    <w:name w:val="Body Text Char"/>
    <w:rPr>
      <w:rFonts w:ascii="Arial" w:hAnsi="Arial" w:cs="Arial"/>
      <w:lang w:val="en-GB"/>
    </w:rPr>
  </w:style>
  <w:style w:type="character" w:styleId="CommentReference">
    <w:name w:val="Comment Reference"/>
    <w:rPr>
      <w:sz w:val="16"/>
      <w:szCs w:val="16"/>
    </w:rPr>
  </w:style>
  <w:style w:type="character" w:styleId="CommentTextChar">
    <w:name w:val="Comment Text Char"/>
    <w:basedOn w:val="DefaultParagraphFont"/>
    <w:rPr/>
  </w:style>
  <w:style w:type="character" w:styleId="CommentSubjectChar">
    <w:name w:val="Comment Subject Char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uppressAutoHyphens w:val="true"/>
      <w:autoSpaceDE w:val="false"/>
      <w:spacing w:before="0" w:after="120"/>
      <w:jc w:val="both"/>
    </w:pPr>
    <w:rPr>
      <w:rFonts w:ascii="Arial" w:hAnsi="Arial" w:cs="Arial"/>
      <w:sz w:val="20"/>
      <w:szCs w:val="20"/>
      <w:lang w:val="en-GB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ocumentMap">
    <w:name w:val="Document Map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Footnote">
    <w:name w:val="Footnote"/>
    <w:basedOn w:val="Normal"/>
    <w:pPr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Endnote">
    <w:name w:val="Endnote"/>
    <w:basedOn w:val="Normal"/>
    <w:pPr/>
    <w:rPr>
      <w:sz w:val="20"/>
      <w:szCs w:val="20"/>
    </w:rPr>
  </w:style>
  <w:style w:type="paragraph" w:styleId="Style13">
    <w:name w:val=" Знак"/>
    <w:basedOn w:val="Normal"/>
    <w:pPr>
      <w:spacing w:before="60" w:after="0"/>
      <w:jc w:val="both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Rule="auto" w:line="480" w:before="0" w:after="120"/>
    </w:pPr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>
      <w:rFonts w:ascii="Calibri" w:hAnsi="Calibri" w:eastAsia="Calibri" w:cs="Calibri"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CommentText">
    <w:name w:val="Comment Text"/>
    <w:basedOn w:val="Normal"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pPr/>
    <w:rPr>
      <w:b/>
      <w:bCs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i-ukraine.org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2017-05-29T16:52:00Z</dcterms:created>
  <dc:creator>Shyrokova</dc:creator>
  <dc:language>en-US</dc:language>
  <cp:lastModifiedBy>Valera</cp:lastModifiedBy>
  <cp:lastPrinted>2015-12-22T13:17:00Z</cp:lastPrinted>
  <dcterms:modified xsi:type="dcterms:W3CDTF">2017-06-08T17:20:00Z</dcterms:modified>
  <cp:revision>10</cp:revision>
  <dc:title>[Бланк організації учасника тендеру]</dc:title>
</cp:coreProperties>
</file>