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C3" w:rsidRDefault="006634C2">
      <w:pPr>
        <w:ind w:left="-567" w:firstLine="284"/>
        <w:contextualSpacing/>
        <w:jc w:val="both"/>
        <w:rPr>
          <w:rFonts w:asciiTheme="minorHAnsi" w:hAnsiTheme="minorHAnsi" w:cstheme="minorHAnsi"/>
          <w:lang w:val="uk-UA"/>
        </w:rPr>
      </w:pPr>
      <w:r>
        <w:rPr>
          <w:rFonts w:asciiTheme="minorHAnsi" w:hAnsiTheme="minorHAnsi" w:cstheme="minorHAnsi"/>
          <w:lang w:val="uk-UA"/>
        </w:rPr>
        <w:t>ПРЕС-РЕЛІЗ</w:t>
      </w:r>
    </w:p>
    <w:p w:rsidR="00BA74C3" w:rsidRDefault="004843E9">
      <w:pPr>
        <w:ind w:left="-567" w:firstLine="284"/>
        <w:contextualSpacing/>
        <w:jc w:val="both"/>
        <w:rPr>
          <w:rFonts w:asciiTheme="minorHAnsi" w:hAnsiTheme="minorHAnsi" w:cstheme="minorHAnsi"/>
          <w:lang w:val="uk-UA"/>
        </w:rPr>
      </w:pPr>
      <w:r>
        <w:rPr>
          <w:rFonts w:asciiTheme="minorHAnsi" w:hAnsiTheme="minorHAnsi" w:cstheme="minorHAnsi"/>
          <w:lang w:val="uk-UA"/>
        </w:rPr>
        <w:t>27.06.2017</w:t>
      </w:r>
    </w:p>
    <w:p w:rsidR="00BA74C3" w:rsidRDefault="00BA74C3">
      <w:pPr>
        <w:ind w:left="-567" w:firstLine="284"/>
        <w:contextualSpacing/>
        <w:jc w:val="both"/>
        <w:rPr>
          <w:rFonts w:asciiTheme="minorHAnsi" w:hAnsiTheme="minorHAnsi" w:cstheme="minorHAnsi"/>
          <w:b/>
          <w:lang w:val="uk-UA"/>
        </w:rPr>
      </w:pPr>
    </w:p>
    <w:p w:rsidR="00BA74C3" w:rsidRDefault="004843E9" w:rsidP="00380EF1">
      <w:pPr>
        <w:jc w:val="both"/>
        <w:rPr>
          <w:rFonts w:asciiTheme="minorHAnsi" w:hAnsiTheme="minorHAnsi" w:cstheme="minorHAnsi"/>
          <w:b/>
          <w:lang w:val="uk-UA"/>
        </w:rPr>
      </w:pPr>
      <w:r>
        <w:rPr>
          <w:rFonts w:asciiTheme="minorHAnsi" w:hAnsiTheme="minorHAnsi" w:cstheme="minorHAnsi"/>
          <w:b/>
          <w:lang w:val="uk-UA"/>
        </w:rPr>
        <w:t xml:space="preserve">Львів, Кропивницький та Івано-Франківськ </w:t>
      </w:r>
      <w:r w:rsidR="00337D1A">
        <w:rPr>
          <w:rFonts w:asciiTheme="minorHAnsi" w:hAnsiTheme="minorHAnsi" w:cstheme="minorHAnsi"/>
          <w:b/>
          <w:lang w:val="uk-UA"/>
        </w:rPr>
        <w:t>лідирують у</w:t>
      </w:r>
      <w:r>
        <w:rPr>
          <w:rFonts w:asciiTheme="minorHAnsi" w:hAnsiTheme="minorHAnsi" w:cstheme="minorHAnsi"/>
          <w:b/>
          <w:lang w:val="uk-UA"/>
        </w:rPr>
        <w:t xml:space="preserve"> рейтингу прозорості – дослідження </w:t>
      </w:r>
    </w:p>
    <w:p w:rsidR="00BA74C3" w:rsidRPr="00C33372" w:rsidRDefault="004843E9" w:rsidP="00380EF1">
      <w:pPr>
        <w:jc w:val="both"/>
        <w:rPr>
          <w:rFonts w:asciiTheme="minorHAnsi" w:hAnsiTheme="minorHAnsi" w:cstheme="minorHAnsi"/>
          <w:i/>
          <w:lang w:val="uk-UA"/>
        </w:rPr>
      </w:pPr>
      <w:r>
        <w:rPr>
          <w:rFonts w:asciiTheme="minorHAnsi" w:hAnsiTheme="minorHAnsi" w:cstheme="minorHAnsi"/>
          <w:i/>
          <w:lang w:val="uk-UA"/>
        </w:rPr>
        <w:t xml:space="preserve">У рейтингу прозорості 100 міст України найбільшу кількість балів отримали Львів (57 зі 100), Кропивницький (56), Івано-Франківськ (54), Київ (52) і Миколаїв (51,5). </w:t>
      </w:r>
      <w:r w:rsidR="005570D2" w:rsidRPr="00337D1A">
        <w:rPr>
          <w:rFonts w:asciiTheme="minorHAnsi" w:hAnsiTheme="minorHAnsi" w:cstheme="minorHAnsi"/>
          <w:i/>
          <w:lang w:val="uk-UA"/>
        </w:rPr>
        <w:t xml:space="preserve">Найменшу кількість балів отримали Новомосковськ (8), Мирноград (10), Дунаївці (11). </w:t>
      </w:r>
      <w:r w:rsidRPr="00337D1A">
        <w:rPr>
          <w:rFonts w:asciiTheme="minorHAnsi" w:hAnsiTheme="minorHAnsi" w:cstheme="minorHAnsi"/>
          <w:i/>
          <w:lang w:val="uk-UA"/>
        </w:rPr>
        <w:t>Рейтинг міст було складено</w:t>
      </w:r>
      <w:r w:rsidR="00C020BC">
        <w:rPr>
          <w:rFonts w:asciiTheme="minorHAnsi" w:hAnsiTheme="minorHAnsi" w:cstheme="minorHAnsi"/>
          <w:i/>
          <w:lang w:val="uk-UA"/>
        </w:rPr>
        <w:t xml:space="preserve"> </w:t>
      </w:r>
      <w:r w:rsidR="00C020BC" w:rsidRPr="00337D1A">
        <w:rPr>
          <w:rFonts w:asciiTheme="minorHAnsi" w:hAnsiTheme="minorHAnsi" w:cstheme="minorHAnsi"/>
          <w:i/>
          <w:lang w:val="uk-UA"/>
        </w:rPr>
        <w:t>за 91 показником у тринадцяти сферах</w:t>
      </w:r>
      <w:r w:rsidRPr="00337D1A">
        <w:rPr>
          <w:rFonts w:asciiTheme="minorHAnsi" w:hAnsiTheme="minorHAnsi" w:cstheme="minorHAnsi"/>
          <w:i/>
          <w:lang w:val="uk-UA"/>
        </w:rPr>
        <w:t xml:space="preserve">. </w:t>
      </w:r>
      <w:r w:rsidR="005570D2">
        <w:rPr>
          <w:rFonts w:asciiTheme="minorHAnsi" w:hAnsiTheme="minorHAnsi" w:cstheme="minorHAnsi"/>
          <w:i/>
          <w:lang w:val="uk-UA"/>
        </w:rPr>
        <w:t>Зокрема, б</w:t>
      </w:r>
      <w:r w:rsidRPr="00337D1A">
        <w:rPr>
          <w:rFonts w:asciiTheme="minorHAnsi" w:hAnsiTheme="minorHAnsi" w:cstheme="minorHAnsi"/>
          <w:i/>
          <w:lang w:val="uk-UA"/>
        </w:rPr>
        <w:t>ралися до уваги фінансова та бюдж</w:t>
      </w:r>
      <w:r w:rsidR="00906E78">
        <w:rPr>
          <w:rFonts w:asciiTheme="minorHAnsi" w:hAnsiTheme="minorHAnsi" w:cstheme="minorHAnsi"/>
          <w:i/>
          <w:lang w:val="uk-UA"/>
        </w:rPr>
        <w:t xml:space="preserve">етна сфера, закупівлі, житлова </w:t>
      </w:r>
      <w:r w:rsidRPr="00337D1A">
        <w:rPr>
          <w:rFonts w:asciiTheme="minorHAnsi" w:hAnsiTheme="minorHAnsi" w:cstheme="minorHAnsi"/>
          <w:i/>
          <w:lang w:val="uk-UA"/>
        </w:rPr>
        <w:t xml:space="preserve">та комунальна політика, освіта, соціальні послуги, інформація про роботу місцевої влади та ін. </w:t>
      </w:r>
      <w:r w:rsidR="005570D2">
        <w:rPr>
          <w:rFonts w:asciiTheme="minorHAnsi" w:hAnsiTheme="minorHAnsi" w:cstheme="minorHAnsi"/>
          <w:i/>
          <w:lang w:val="uk-UA"/>
        </w:rPr>
        <w:t xml:space="preserve">Рейтинг було розроблено аналітиками </w:t>
      </w:r>
      <w:r w:rsidR="00C020BC">
        <w:rPr>
          <w:rFonts w:asciiTheme="minorHAnsi" w:hAnsiTheme="minorHAnsi" w:cstheme="minorHAnsi"/>
          <w:i/>
          <w:lang w:val="en-US"/>
        </w:rPr>
        <w:t>Transparency</w:t>
      </w:r>
      <w:r w:rsidR="00C020BC" w:rsidRPr="00C020BC">
        <w:rPr>
          <w:rFonts w:asciiTheme="minorHAnsi" w:hAnsiTheme="minorHAnsi" w:cstheme="minorHAnsi"/>
          <w:i/>
          <w:lang w:val="uk-UA"/>
        </w:rPr>
        <w:t xml:space="preserve"> </w:t>
      </w:r>
      <w:r w:rsidR="00C020BC">
        <w:rPr>
          <w:rFonts w:asciiTheme="minorHAnsi" w:hAnsiTheme="minorHAnsi" w:cstheme="minorHAnsi"/>
          <w:i/>
          <w:lang w:val="en-US"/>
        </w:rPr>
        <w:t>International</w:t>
      </w:r>
      <w:r w:rsidR="00C020BC" w:rsidRPr="00C020BC">
        <w:rPr>
          <w:rFonts w:asciiTheme="minorHAnsi" w:hAnsiTheme="minorHAnsi" w:cstheme="minorHAnsi"/>
          <w:i/>
          <w:lang w:val="uk-UA"/>
        </w:rPr>
        <w:t xml:space="preserve"> </w:t>
      </w:r>
      <w:r w:rsidR="00C020BC">
        <w:rPr>
          <w:rFonts w:asciiTheme="minorHAnsi" w:hAnsiTheme="minorHAnsi" w:cstheme="minorHAnsi"/>
          <w:i/>
          <w:lang w:val="uk-UA"/>
        </w:rPr>
        <w:t>Україна та Інститут</w:t>
      </w:r>
      <w:r w:rsidR="005570D2">
        <w:rPr>
          <w:rFonts w:asciiTheme="minorHAnsi" w:hAnsiTheme="minorHAnsi" w:cstheme="minorHAnsi"/>
          <w:i/>
          <w:lang w:val="uk-UA"/>
        </w:rPr>
        <w:t>у</w:t>
      </w:r>
      <w:r w:rsidR="00C020BC">
        <w:rPr>
          <w:rFonts w:asciiTheme="minorHAnsi" w:hAnsiTheme="minorHAnsi" w:cstheme="minorHAnsi"/>
          <w:i/>
          <w:lang w:val="uk-UA"/>
        </w:rPr>
        <w:t xml:space="preserve"> Політичної Освіти у рамках проекту </w:t>
      </w:r>
      <w:r w:rsidR="00C020BC" w:rsidRPr="00C020BC">
        <w:rPr>
          <w:rFonts w:asciiTheme="minorHAnsi" w:hAnsiTheme="minorHAnsi" w:cstheme="minorHAnsi"/>
          <w:i/>
          <w:lang w:val="uk-UA"/>
        </w:rPr>
        <w:t>«Розбудова прозорості у містах України».</w:t>
      </w:r>
      <w:r w:rsidR="00C33372">
        <w:rPr>
          <w:rFonts w:asciiTheme="minorHAnsi" w:hAnsiTheme="minorHAnsi" w:cstheme="minorHAnsi"/>
          <w:i/>
          <w:lang w:val="uk-UA"/>
        </w:rPr>
        <w:t xml:space="preserve"> Повну інформацію про дослідження 100 міст розміщена на сайті </w:t>
      </w:r>
      <w:r w:rsidR="00C33372" w:rsidRPr="00C33372">
        <w:rPr>
          <w:rFonts w:asciiTheme="minorHAnsi" w:hAnsiTheme="minorHAnsi" w:cstheme="minorHAnsi"/>
          <w:b/>
          <w:i/>
          <w:lang w:val="uk-UA"/>
        </w:rPr>
        <w:t>transparentcities.in.ua.</w:t>
      </w:r>
    </w:p>
    <w:p w:rsidR="00BA74C3" w:rsidRDefault="004843E9" w:rsidP="00380EF1">
      <w:pPr>
        <w:jc w:val="both"/>
        <w:rPr>
          <w:rFonts w:asciiTheme="minorHAnsi" w:hAnsiTheme="minorHAnsi" w:cstheme="minorHAnsi"/>
          <w:lang w:val="uk-UA"/>
        </w:rPr>
      </w:pPr>
      <w:r>
        <w:rPr>
          <w:rFonts w:asciiTheme="minorHAnsi" w:hAnsiTheme="minorHAnsi" w:cstheme="minorHAnsi"/>
          <w:lang w:val="uk-UA"/>
        </w:rPr>
        <w:t xml:space="preserve">Найпрозорішою сферою в містах України є </w:t>
      </w:r>
      <w:r w:rsidRPr="009B7D60">
        <w:rPr>
          <w:rFonts w:asciiTheme="minorHAnsi" w:hAnsiTheme="minorHAnsi" w:cstheme="minorHAnsi"/>
          <w:b/>
          <w:lang w:val="uk-UA"/>
        </w:rPr>
        <w:t>доступ та участь</w:t>
      </w:r>
      <w:r>
        <w:rPr>
          <w:rFonts w:asciiTheme="minorHAnsi" w:hAnsiTheme="minorHAnsi" w:cstheme="minorHAnsi"/>
          <w:lang w:val="uk-UA"/>
        </w:rPr>
        <w:t xml:space="preserve"> – рівень </w:t>
      </w:r>
      <w:r w:rsidR="009B7D60">
        <w:rPr>
          <w:rFonts w:asciiTheme="minorHAnsi" w:hAnsiTheme="minorHAnsi" w:cstheme="minorHAnsi"/>
          <w:lang w:val="uk-UA"/>
        </w:rPr>
        <w:t xml:space="preserve">її прозорості цієї </w:t>
      </w:r>
      <w:r>
        <w:rPr>
          <w:rFonts w:asciiTheme="minorHAnsi" w:hAnsiTheme="minorHAnsi" w:cstheme="minorHAnsi"/>
          <w:lang w:val="uk-UA"/>
        </w:rPr>
        <w:t>складає 46%. Це означає, що у багатьох містах громадськість може бути присутньою на засіданнях депутатьких комісій</w:t>
      </w:r>
      <w:r w:rsidR="009B7D60">
        <w:rPr>
          <w:rFonts w:asciiTheme="minorHAnsi" w:hAnsiTheme="minorHAnsi" w:cstheme="minorHAnsi"/>
          <w:lang w:val="uk-UA"/>
        </w:rPr>
        <w:t xml:space="preserve"> ради без присутності депутатів. П</w:t>
      </w:r>
      <w:r>
        <w:rPr>
          <w:rFonts w:asciiTheme="minorHAnsi" w:hAnsiTheme="minorHAnsi" w:cstheme="minorHAnsi"/>
          <w:lang w:val="uk-UA"/>
        </w:rPr>
        <w:t>роекти рішень міськради і порядок денний сесій оприлюдню</w:t>
      </w:r>
      <w:r w:rsidR="005B1AEA">
        <w:rPr>
          <w:rFonts w:asciiTheme="minorHAnsi" w:hAnsiTheme="minorHAnsi" w:cstheme="minorHAnsi"/>
          <w:lang w:val="uk-UA"/>
        </w:rPr>
        <w:t>ю</w:t>
      </w:r>
      <w:r w:rsidR="009B7D60">
        <w:rPr>
          <w:rFonts w:asciiTheme="minorHAnsi" w:hAnsiTheme="minorHAnsi" w:cstheme="minorHAnsi"/>
          <w:lang w:val="uk-UA"/>
        </w:rPr>
        <w:t>ться завчасно. Г</w:t>
      </w:r>
      <w:r>
        <w:rPr>
          <w:rFonts w:asciiTheme="minorHAnsi" w:hAnsiTheme="minorHAnsi" w:cstheme="minorHAnsi"/>
          <w:lang w:val="uk-UA"/>
        </w:rPr>
        <w:t xml:space="preserve">ромадськість може впливати на те, як витрачається бюджет. </w:t>
      </w:r>
      <w:r w:rsidR="005B1AEA">
        <w:rPr>
          <w:rFonts w:asciiTheme="minorHAnsi" w:hAnsiTheme="minorHAnsi" w:cstheme="minorHAnsi"/>
          <w:lang w:val="uk-UA"/>
        </w:rPr>
        <w:t>О</w:t>
      </w:r>
      <w:r>
        <w:rPr>
          <w:rFonts w:asciiTheme="minorHAnsi" w:hAnsiTheme="minorHAnsi" w:cstheme="minorHAnsi"/>
          <w:lang w:val="uk-UA"/>
        </w:rPr>
        <w:t xml:space="preserve">крім того, існує можливість подати електронний запит або звернення.  </w:t>
      </w:r>
    </w:p>
    <w:p w:rsidR="00BA74C3" w:rsidRDefault="004843E9" w:rsidP="00380EF1">
      <w:pPr>
        <w:jc w:val="both"/>
        <w:rPr>
          <w:rFonts w:asciiTheme="minorHAnsi" w:hAnsiTheme="minorHAnsi" w:cstheme="minorHAnsi"/>
          <w:lang w:val="uk-UA"/>
        </w:rPr>
      </w:pPr>
      <w:r>
        <w:rPr>
          <w:rFonts w:asciiTheme="minorHAnsi" w:hAnsiTheme="minorHAnsi" w:cstheme="minorHAnsi"/>
          <w:lang w:val="uk-UA"/>
        </w:rPr>
        <w:t xml:space="preserve">Друге місце за відкритістю посідає сфера </w:t>
      </w:r>
      <w:r w:rsidRPr="00015D42">
        <w:rPr>
          <w:rFonts w:asciiTheme="minorHAnsi" w:hAnsiTheme="minorHAnsi" w:cstheme="minorHAnsi"/>
          <w:b/>
          <w:lang w:val="uk-UA"/>
        </w:rPr>
        <w:t>інформування про роботу органів місцевої влади</w:t>
      </w:r>
      <w:r>
        <w:rPr>
          <w:rFonts w:asciiTheme="minorHAnsi" w:hAnsiTheme="minorHAnsi" w:cstheme="minorHAnsi"/>
          <w:lang w:val="uk-UA"/>
        </w:rPr>
        <w:t xml:space="preserve"> - майже 46% прозорості. У багатьох містах регулярно оприлюднюють протоколи засідань пр</w:t>
      </w:r>
      <w:r w:rsidR="00566946">
        <w:rPr>
          <w:rFonts w:asciiTheme="minorHAnsi" w:hAnsiTheme="minorHAnsi" w:cstheme="minorHAnsi"/>
          <w:lang w:val="uk-UA"/>
        </w:rPr>
        <w:t>е</w:t>
      </w:r>
      <w:r>
        <w:rPr>
          <w:rFonts w:asciiTheme="minorHAnsi" w:hAnsiTheme="minorHAnsi" w:cstheme="minorHAnsi"/>
          <w:lang w:val="uk-UA"/>
        </w:rPr>
        <w:t>зидій ради, відкрито публікують оголошення, анонси, повідомлення органів влади, а контактні дані депутатів є у вільному доступі.</w:t>
      </w:r>
    </w:p>
    <w:p w:rsidR="00BA74C3" w:rsidRDefault="004843E9" w:rsidP="00380EF1">
      <w:pPr>
        <w:jc w:val="both"/>
        <w:rPr>
          <w:rFonts w:asciiTheme="minorHAnsi" w:hAnsiTheme="minorHAnsi" w:cstheme="minorHAnsi"/>
          <w:lang w:val="uk-UA"/>
        </w:rPr>
      </w:pPr>
      <w:r>
        <w:rPr>
          <w:rFonts w:asciiTheme="minorHAnsi" w:hAnsiTheme="minorHAnsi" w:cstheme="minorHAnsi"/>
          <w:lang w:val="uk-UA"/>
        </w:rPr>
        <w:t xml:space="preserve">45% прозорості демонструють міста у </w:t>
      </w:r>
      <w:r w:rsidRPr="00015D42">
        <w:rPr>
          <w:rFonts w:asciiTheme="minorHAnsi" w:hAnsiTheme="minorHAnsi" w:cstheme="minorHAnsi"/>
          <w:b/>
          <w:lang w:val="uk-UA"/>
        </w:rPr>
        <w:t>кадрових питаннях</w:t>
      </w:r>
      <w:r>
        <w:rPr>
          <w:rFonts w:asciiTheme="minorHAnsi" w:hAnsiTheme="minorHAnsi" w:cstheme="minorHAnsi"/>
          <w:lang w:val="uk-UA"/>
        </w:rPr>
        <w:t xml:space="preserve">. Це означає відкритість процедур відбору претендентів на посади в органах влади,  гендерний баланс тощо. </w:t>
      </w:r>
    </w:p>
    <w:p w:rsidR="00BA74C3" w:rsidRDefault="00015D42" w:rsidP="00380EF1">
      <w:pPr>
        <w:jc w:val="both"/>
        <w:rPr>
          <w:rFonts w:asciiTheme="minorHAnsi" w:hAnsiTheme="minorHAnsi" w:cstheme="minorHAnsi"/>
          <w:lang w:val="uk-UA"/>
        </w:rPr>
      </w:pPr>
      <w:r>
        <w:rPr>
          <w:rFonts w:asciiTheme="minorHAnsi" w:hAnsiTheme="minorHAnsi" w:cstheme="minorHAnsi"/>
          <w:lang w:val="uk-UA"/>
        </w:rPr>
        <w:t>«</w:t>
      </w:r>
      <w:r w:rsidR="00DB3D7C">
        <w:rPr>
          <w:rFonts w:asciiTheme="minorHAnsi" w:hAnsiTheme="minorHAnsi" w:cstheme="minorHAnsi"/>
          <w:i/>
          <w:lang w:val="uk-UA"/>
        </w:rPr>
        <w:t xml:space="preserve">Сьогодні </w:t>
      </w:r>
      <w:r w:rsidR="007A5E94" w:rsidRPr="00BA11E4">
        <w:rPr>
          <w:rFonts w:asciiTheme="minorHAnsi" w:hAnsiTheme="minorHAnsi" w:cstheme="minorHAnsi"/>
          <w:i/>
          <w:lang w:val="uk-UA"/>
        </w:rPr>
        <w:t xml:space="preserve">в Україні </w:t>
      </w:r>
      <w:r w:rsidR="00DB3D7C">
        <w:rPr>
          <w:rFonts w:asciiTheme="minorHAnsi" w:hAnsiTheme="minorHAnsi" w:cstheme="minorHAnsi"/>
          <w:i/>
          <w:lang w:val="uk-UA"/>
        </w:rPr>
        <w:t>триває</w:t>
      </w:r>
      <w:r w:rsidR="007A5E94">
        <w:rPr>
          <w:rFonts w:asciiTheme="minorHAnsi" w:hAnsiTheme="minorHAnsi" w:cstheme="minorHAnsi"/>
          <w:lang w:val="uk-UA"/>
        </w:rPr>
        <w:t xml:space="preserve"> </w:t>
      </w:r>
      <w:r w:rsidR="00DB3D7C" w:rsidRPr="00DB3D7C">
        <w:rPr>
          <w:rFonts w:asciiTheme="minorHAnsi" w:hAnsiTheme="minorHAnsi" w:cstheme="minorHAnsi"/>
          <w:i/>
          <w:lang w:val="uk-UA"/>
        </w:rPr>
        <w:t>п</w:t>
      </w:r>
      <w:r w:rsidR="004843E9" w:rsidRPr="00015D42">
        <w:rPr>
          <w:rFonts w:asciiTheme="minorHAnsi" w:hAnsiTheme="minorHAnsi" w:cstheme="minorHAnsi"/>
          <w:i/>
          <w:lang w:val="uk-UA"/>
        </w:rPr>
        <w:t xml:space="preserve">роцес </w:t>
      </w:r>
      <w:r w:rsidR="007A5E94" w:rsidRPr="00015D42">
        <w:rPr>
          <w:rFonts w:asciiTheme="minorHAnsi" w:hAnsiTheme="minorHAnsi" w:cstheme="minorHAnsi"/>
          <w:i/>
          <w:lang w:val="uk-UA"/>
        </w:rPr>
        <w:t>децентралізації</w:t>
      </w:r>
      <w:r w:rsidR="007A5E94">
        <w:rPr>
          <w:rFonts w:asciiTheme="minorHAnsi" w:hAnsiTheme="minorHAnsi" w:cstheme="minorHAnsi"/>
          <w:i/>
          <w:lang w:val="uk-UA"/>
        </w:rPr>
        <w:t xml:space="preserve">. </w:t>
      </w:r>
      <w:r w:rsidR="00380EF1">
        <w:rPr>
          <w:rFonts w:asciiTheme="minorHAnsi" w:hAnsiTheme="minorHAnsi" w:cstheme="minorHAnsi"/>
          <w:i/>
          <w:lang w:val="uk-UA"/>
        </w:rPr>
        <w:t xml:space="preserve">Ця реформа може бути успішною тільки за умови підзвітності місцевої влади. </w:t>
      </w:r>
      <w:r w:rsidR="004843E9" w:rsidRPr="00015D42">
        <w:rPr>
          <w:rFonts w:asciiTheme="minorHAnsi" w:hAnsiTheme="minorHAnsi" w:cstheme="minorHAnsi"/>
          <w:i/>
          <w:lang w:val="uk-UA"/>
        </w:rPr>
        <w:t xml:space="preserve">Інакше проблеми з центрального рівня просто </w:t>
      </w:r>
      <w:r w:rsidR="007A5E94">
        <w:rPr>
          <w:rFonts w:asciiTheme="minorHAnsi" w:hAnsiTheme="minorHAnsi" w:cstheme="minorHAnsi"/>
          <w:i/>
          <w:lang w:val="uk-UA"/>
        </w:rPr>
        <w:t>опустяться</w:t>
      </w:r>
      <w:r w:rsidR="004843E9" w:rsidRPr="00015D42">
        <w:rPr>
          <w:rFonts w:asciiTheme="minorHAnsi" w:hAnsiTheme="minorHAnsi" w:cstheme="minorHAnsi"/>
          <w:i/>
          <w:lang w:val="uk-UA"/>
        </w:rPr>
        <w:t xml:space="preserve"> на рівень </w:t>
      </w:r>
      <w:r w:rsidR="00642291">
        <w:rPr>
          <w:rFonts w:asciiTheme="minorHAnsi" w:hAnsiTheme="minorHAnsi" w:cstheme="minorHAnsi"/>
          <w:i/>
          <w:lang w:val="uk-UA"/>
        </w:rPr>
        <w:t xml:space="preserve">влади на </w:t>
      </w:r>
      <w:r w:rsidR="00BA11E4">
        <w:rPr>
          <w:rFonts w:asciiTheme="minorHAnsi" w:hAnsiTheme="minorHAnsi" w:cstheme="minorHAnsi"/>
          <w:i/>
          <w:lang w:val="uk-UA"/>
        </w:rPr>
        <w:t>містах</w:t>
      </w:r>
      <w:r w:rsidR="004843E9" w:rsidRPr="00015D42">
        <w:rPr>
          <w:rFonts w:asciiTheme="minorHAnsi" w:hAnsiTheme="minorHAnsi" w:cstheme="minorHAnsi"/>
          <w:i/>
          <w:lang w:val="uk-UA"/>
        </w:rPr>
        <w:t>. Загалом рейтинг показав, що існують великі проблеми із відкритістю міст. Адже верхівка рейтингу ледь-ледь набирає біл</w:t>
      </w:r>
      <w:r w:rsidR="00642291">
        <w:rPr>
          <w:rFonts w:asciiTheme="minorHAnsi" w:hAnsiTheme="minorHAnsi" w:cstheme="minorHAnsi"/>
          <w:i/>
          <w:lang w:val="uk-UA"/>
        </w:rPr>
        <w:t>ь</w:t>
      </w:r>
      <w:r w:rsidR="00380EF1">
        <w:rPr>
          <w:rFonts w:asciiTheme="minorHAnsi" w:hAnsiTheme="minorHAnsi" w:cstheme="minorHAnsi"/>
          <w:i/>
          <w:lang w:val="uk-UA"/>
        </w:rPr>
        <w:t>ше 50</w:t>
      </w:r>
      <w:r w:rsidR="004843E9" w:rsidRPr="00015D42">
        <w:rPr>
          <w:rFonts w:asciiTheme="minorHAnsi" w:hAnsiTheme="minorHAnsi" w:cstheme="minorHAnsi"/>
          <w:i/>
          <w:lang w:val="uk-UA"/>
        </w:rPr>
        <w:t xml:space="preserve"> балів зі ста можливих. У порівнянні з іншими </w:t>
      </w:r>
      <w:r w:rsidR="00642291" w:rsidRPr="00015D42">
        <w:rPr>
          <w:rFonts w:asciiTheme="minorHAnsi" w:hAnsiTheme="minorHAnsi" w:cstheme="minorHAnsi"/>
          <w:i/>
          <w:lang w:val="uk-UA"/>
        </w:rPr>
        <w:t>країнами</w:t>
      </w:r>
      <w:r w:rsidR="004843E9" w:rsidRPr="00015D42">
        <w:rPr>
          <w:rFonts w:asciiTheme="minorHAnsi" w:hAnsiTheme="minorHAnsi" w:cstheme="minorHAnsi"/>
          <w:i/>
          <w:lang w:val="uk-UA"/>
        </w:rPr>
        <w:t>, де проводився схожий рейтинг, це слабкі результат</w:t>
      </w:r>
      <w:r w:rsidR="00F02A67">
        <w:rPr>
          <w:rFonts w:asciiTheme="minorHAnsi" w:hAnsiTheme="minorHAnsi" w:cstheme="minorHAnsi"/>
          <w:i/>
          <w:lang w:val="uk-UA"/>
        </w:rPr>
        <w:t xml:space="preserve">и. </w:t>
      </w:r>
      <w:r w:rsidR="00380EF1">
        <w:rPr>
          <w:rFonts w:asciiTheme="minorHAnsi" w:hAnsiTheme="minorHAnsi" w:cstheme="minorHAnsi"/>
          <w:i/>
          <w:lang w:val="uk-UA"/>
        </w:rPr>
        <w:t>Наприклад, у</w:t>
      </w:r>
      <w:r w:rsidR="00F02A67">
        <w:rPr>
          <w:rFonts w:asciiTheme="minorHAnsi" w:hAnsiTheme="minorHAnsi" w:cstheme="minorHAnsi"/>
          <w:i/>
          <w:lang w:val="uk-UA"/>
        </w:rPr>
        <w:t xml:space="preserve"> Словаччині</w:t>
      </w:r>
      <w:r w:rsidR="00380EF1">
        <w:rPr>
          <w:rFonts w:asciiTheme="minorHAnsi" w:hAnsiTheme="minorHAnsi" w:cstheme="minorHAnsi"/>
          <w:i/>
          <w:lang w:val="uk-UA"/>
        </w:rPr>
        <w:t xml:space="preserve"> </w:t>
      </w:r>
      <w:r w:rsidR="00DB3D7C">
        <w:rPr>
          <w:rFonts w:asciiTheme="minorHAnsi" w:hAnsiTheme="minorHAnsi" w:cstheme="minorHAnsi"/>
          <w:i/>
          <w:lang w:val="uk-UA"/>
        </w:rPr>
        <w:t>міста-</w:t>
      </w:r>
      <w:r w:rsidR="00F02A67">
        <w:rPr>
          <w:rFonts w:asciiTheme="minorHAnsi" w:hAnsiTheme="minorHAnsi" w:cstheme="minorHAnsi"/>
          <w:i/>
          <w:lang w:val="uk-UA"/>
        </w:rPr>
        <w:t>лідери набирають більше 70 балів</w:t>
      </w:r>
      <w:r>
        <w:rPr>
          <w:rFonts w:asciiTheme="minorHAnsi" w:hAnsiTheme="minorHAnsi" w:cstheme="minorHAnsi"/>
          <w:i/>
          <w:lang w:val="uk-UA"/>
        </w:rPr>
        <w:t>»</w:t>
      </w:r>
      <w:r w:rsidR="004843E9">
        <w:rPr>
          <w:rFonts w:asciiTheme="minorHAnsi" w:hAnsiTheme="minorHAnsi" w:cstheme="minorHAnsi"/>
          <w:lang w:val="uk-UA"/>
        </w:rPr>
        <w:t xml:space="preserve">, </w:t>
      </w:r>
      <w:r>
        <w:rPr>
          <w:rFonts w:asciiTheme="minorHAnsi" w:hAnsiTheme="minorHAnsi" w:cstheme="minorHAnsi"/>
          <w:lang w:val="uk-UA"/>
        </w:rPr>
        <w:t xml:space="preserve">- </w:t>
      </w:r>
      <w:r w:rsidR="004843E9">
        <w:rPr>
          <w:rFonts w:asciiTheme="minorHAnsi" w:hAnsiTheme="minorHAnsi" w:cstheme="minorHAnsi"/>
          <w:lang w:val="uk-UA"/>
        </w:rPr>
        <w:t>прокоментував результати дослідження</w:t>
      </w:r>
      <w:r>
        <w:rPr>
          <w:rFonts w:asciiTheme="minorHAnsi" w:hAnsiTheme="minorHAnsi" w:cstheme="minorHAnsi"/>
          <w:lang w:val="uk-UA"/>
        </w:rPr>
        <w:t xml:space="preserve"> </w:t>
      </w:r>
      <w:r w:rsidRPr="000F392F">
        <w:rPr>
          <w:rFonts w:asciiTheme="minorHAnsi" w:hAnsiTheme="minorHAnsi" w:cstheme="minorHAnsi"/>
          <w:lang w:val="uk-UA"/>
        </w:rPr>
        <w:t xml:space="preserve">виконавчий директор представництва </w:t>
      </w:r>
      <w:proofErr w:type="spellStart"/>
      <w:r w:rsidRPr="00015D42">
        <w:rPr>
          <w:rFonts w:asciiTheme="minorHAnsi" w:hAnsiTheme="minorHAnsi" w:cstheme="minorHAnsi"/>
          <w:lang w:val="uk-UA"/>
        </w:rPr>
        <w:t>Transparency</w:t>
      </w:r>
      <w:proofErr w:type="spellEnd"/>
      <w:r w:rsidRPr="000F392F">
        <w:rPr>
          <w:rFonts w:asciiTheme="minorHAnsi" w:hAnsiTheme="minorHAnsi" w:cstheme="minorHAnsi"/>
          <w:lang w:val="uk-UA"/>
        </w:rPr>
        <w:t xml:space="preserve"> </w:t>
      </w:r>
      <w:proofErr w:type="spellStart"/>
      <w:r w:rsidRPr="00015D42">
        <w:rPr>
          <w:rFonts w:asciiTheme="minorHAnsi" w:hAnsiTheme="minorHAnsi" w:cstheme="minorHAnsi"/>
          <w:lang w:val="uk-UA"/>
        </w:rPr>
        <w:t>International</w:t>
      </w:r>
      <w:proofErr w:type="spellEnd"/>
      <w:r>
        <w:rPr>
          <w:rFonts w:asciiTheme="minorHAnsi" w:hAnsiTheme="minorHAnsi" w:cstheme="minorHAnsi"/>
          <w:lang w:val="uk-UA"/>
        </w:rPr>
        <w:t xml:space="preserve"> в Україні </w:t>
      </w:r>
      <w:r w:rsidRPr="00165FB3">
        <w:rPr>
          <w:rFonts w:asciiTheme="minorHAnsi" w:hAnsiTheme="minorHAnsi" w:cstheme="minorHAnsi"/>
          <w:b/>
          <w:lang w:val="uk-UA"/>
        </w:rPr>
        <w:t>Ярослав Юрчишин</w:t>
      </w:r>
      <w:r>
        <w:rPr>
          <w:rFonts w:asciiTheme="minorHAnsi" w:hAnsiTheme="minorHAnsi" w:cstheme="minorHAnsi"/>
          <w:lang w:val="uk-UA"/>
        </w:rPr>
        <w:t xml:space="preserve">. </w:t>
      </w:r>
    </w:p>
    <w:p w:rsidR="00A15097" w:rsidRDefault="007A5E94" w:rsidP="00A455F0">
      <w:pPr>
        <w:jc w:val="both"/>
        <w:rPr>
          <w:rFonts w:asciiTheme="minorHAnsi" w:eastAsiaTheme="minorHAnsi" w:hAnsiTheme="minorHAnsi" w:cstheme="minorBidi"/>
          <w:lang w:val="uk-UA"/>
        </w:rPr>
      </w:pPr>
      <w:r w:rsidRPr="007A5E94">
        <w:rPr>
          <w:rFonts w:asciiTheme="minorHAnsi" w:eastAsiaTheme="minorHAnsi" w:hAnsiTheme="minorHAnsi" w:cstheme="minorBidi"/>
          <w:lang w:val="uk-UA"/>
        </w:rPr>
        <w:t>Найбільш закриті для людей сфери пов’язані з житлом, роботою комунальних підприємств та соціальних установ. 65% міст не отримали жодного балу в житловій сфері. Як правило, громада нічого не знає про розподіл житла, онлайн-черг</w:t>
      </w:r>
      <w:r>
        <w:rPr>
          <w:rFonts w:asciiTheme="minorHAnsi" w:eastAsiaTheme="minorHAnsi" w:hAnsiTheme="minorHAnsi" w:cstheme="minorBidi"/>
          <w:lang w:val="uk-UA"/>
        </w:rPr>
        <w:t>и</w:t>
      </w:r>
      <w:r w:rsidRPr="007A5E94">
        <w:rPr>
          <w:rFonts w:asciiTheme="minorHAnsi" w:eastAsiaTheme="minorHAnsi" w:hAnsiTheme="minorHAnsi" w:cstheme="minorBidi"/>
          <w:lang w:val="uk-UA"/>
        </w:rPr>
        <w:t xml:space="preserve"> на ремонти приміщень та будинків</w:t>
      </w:r>
      <w:r w:rsidR="00380EF1" w:rsidRPr="00380EF1">
        <w:rPr>
          <w:rFonts w:asciiTheme="minorHAnsi" w:eastAsiaTheme="minorHAnsi" w:hAnsiTheme="minorHAnsi" w:cstheme="minorBidi"/>
          <w:lang w:val="uk-UA"/>
        </w:rPr>
        <w:t xml:space="preserve"> </w:t>
      </w:r>
      <w:r w:rsidR="00380EF1" w:rsidRPr="007A5E94">
        <w:rPr>
          <w:rFonts w:asciiTheme="minorHAnsi" w:eastAsiaTheme="minorHAnsi" w:hAnsiTheme="minorHAnsi" w:cstheme="minorBidi"/>
          <w:lang w:val="uk-UA"/>
        </w:rPr>
        <w:t>відсутні</w:t>
      </w:r>
      <w:r w:rsidRPr="007A5E94">
        <w:rPr>
          <w:rFonts w:asciiTheme="minorHAnsi" w:eastAsiaTheme="minorHAnsi" w:hAnsiTheme="minorHAnsi" w:cstheme="minorBidi"/>
          <w:lang w:val="uk-UA"/>
        </w:rPr>
        <w:t xml:space="preserve">. Майже в усіх містах незрозуміло, як визначається черговість ремонту дахів, підвалів, </w:t>
      </w:r>
      <w:r w:rsidR="00380EF1" w:rsidRPr="007A5E94">
        <w:rPr>
          <w:rFonts w:asciiTheme="minorHAnsi" w:eastAsiaTheme="minorHAnsi" w:hAnsiTheme="minorHAnsi" w:cstheme="minorBidi"/>
          <w:lang w:val="uk-UA"/>
        </w:rPr>
        <w:t>під’їздів</w:t>
      </w:r>
      <w:r w:rsidR="000545DE">
        <w:rPr>
          <w:rFonts w:asciiTheme="minorHAnsi" w:eastAsiaTheme="minorHAnsi" w:hAnsiTheme="minorHAnsi" w:cstheme="minorBidi"/>
          <w:lang w:val="uk-UA"/>
        </w:rPr>
        <w:t xml:space="preserve"> та прибудинкових територій.</w:t>
      </w:r>
      <w:r w:rsidRPr="007A5E94">
        <w:rPr>
          <w:rFonts w:asciiTheme="minorHAnsi" w:eastAsiaTheme="minorHAnsi" w:hAnsiTheme="minorHAnsi" w:cstheme="minorBidi"/>
          <w:lang w:val="uk-UA"/>
        </w:rPr>
        <w:t xml:space="preserve"> У 36 містах мешканці </w:t>
      </w:r>
      <w:r w:rsidR="00380EF1">
        <w:rPr>
          <w:rFonts w:asciiTheme="minorHAnsi" w:eastAsiaTheme="minorHAnsi" w:hAnsiTheme="minorHAnsi" w:cstheme="minorBidi"/>
          <w:lang w:val="uk-UA"/>
        </w:rPr>
        <w:t>абсолютно</w:t>
      </w:r>
      <w:r w:rsidRPr="007A5E94">
        <w:rPr>
          <w:rFonts w:asciiTheme="minorHAnsi" w:eastAsiaTheme="minorHAnsi" w:hAnsiTheme="minorHAnsi" w:cstheme="minorBidi"/>
          <w:lang w:val="uk-UA"/>
        </w:rPr>
        <w:t xml:space="preserve"> не проінформовані про види соціальних послуг. Наприклад, люди не знають, які види послуг надають соціальні установи та скільки це коштує </w:t>
      </w:r>
      <w:r w:rsidR="00380EF1">
        <w:rPr>
          <w:rFonts w:asciiTheme="minorHAnsi" w:eastAsiaTheme="minorHAnsi" w:hAnsiTheme="minorHAnsi" w:cstheme="minorBidi"/>
          <w:lang w:val="uk-UA"/>
        </w:rPr>
        <w:t>платникам податків.</w:t>
      </w:r>
      <w:r w:rsidR="00A15097">
        <w:rPr>
          <w:rFonts w:asciiTheme="minorHAnsi" w:eastAsiaTheme="minorHAnsi" w:hAnsiTheme="minorHAnsi" w:cstheme="minorBidi"/>
          <w:lang w:val="uk-UA"/>
        </w:rPr>
        <w:t xml:space="preserve"> </w:t>
      </w:r>
      <w:r w:rsidR="009901DD">
        <w:rPr>
          <w:rFonts w:asciiTheme="minorHAnsi" w:eastAsiaTheme="minorHAnsi" w:hAnsiTheme="minorHAnsi" w:cstheme="minorBidi"/>
          <w:lang w:val="uk-UA"/>
        </w:rPr>
        <w:t>Часто немає інформації</w:t>
      </w:r>
      <w:r w:rsidR="00A15097">
        <w:rPr>
          <w:rFonts w:asciiTheme="minorHAnsi" w:eastAsiaTheme="minorHAnsi" w:hAnsiTheme="minorHAnsi" w:cstheme="minorBidi"/>
          <w:lang w:val="uk-UA"/>
        </w:rPr>
        <w:t xml:space="preserve">, як отримати </w:t>
      </w:r>
      <w:r w:rsidR="00A15097" w:rsidRPr="007A5E94">
        <w:rPr>
          <w:rFonts w:asciiTheme="minorHAnsi" w:eastAsiaTheme="minorHAnsi" w:hAnsiTheme="minorHAnsi" w:cstheme="minorBidi"/>
          <w:lang w:val="uk-UA"/>
        </w:rPr>
        <w:t>матеріальн</w:t>
      </w:r>
      <w:r w:rsidR="00A15097">
        <w:rPr>
          <w:rFonts w:asciiTheme="minorHAnsi" w:eastAsiaTheme="minorHAnsi" w:hAnsiTheme="minorHAnsi" w:cstheme="minorBidi"/>
          <w:lang w:val="uk-UA"/>
        </w:rPr>
        <w:t>у допомогу або</w:t>
      </w:r>
      <w:r w:rsidR="00A15097" w:rsidRPr="007A5E94">
        <w:rPr>
          <w:rFonts w:asciiTheme="minorHAnsi" w:eastAsiaTheme="minorHAnsi" w:hAnsiTheme="minorHAnsi" w:cstheme="minorBidi"/>
          <w:lang w:val="uk-UA"/>
        </w:rPr>
        <w:t xml:space="preserve"> соціальн</w:t>
      </w:r>
      <w:r w:rsidR="00A15097">
        <w:rPr>
          <w:rFonts w:asciiTheme="minorHAnsi" w:eastAsiaTheme="minorHAnsi" w:hAnsiTheme="minorHAnsi" w:cstheme="minorBidi"/>
          <w:lang w:val="uk-UA"/>
        </w:rPr>
        <w:t>і</w:t>
      </w:r>
      <w:r w:rsidR="00A15097" w:rsidRPr="007A5E94">
        <w:rPr>
          <w:rFonts w:asciiTheme="minorHAnsi" w:eastAsiaTheme="minorHAnsi" w:hAnsiTheme="minorHAnsi" w:cstheme="minorBidi"/>
          <w:lang w:val="uk-UA"/>
        </w:rPr>
        <w:t xml:space="preserve"> виплатами з місцевого бюджету.</w:t>
      </w:r>
    </w:p>
    <w:p w:rsidR="00A455F0" w:rsidRPr="007A5E94" w:rsidRDefault="00380EF1" w:rsidP="00A455F0">
      <w:pPr>
        <w:jc w:val="both"/>
        <w:rPr>
          <w:rFonts w:asciiTheme="minorHAnsi" w:eastAsiaTheme="minorHAnsi" w:hAnsiTheme="minorHAnsi" w:cstheme="minorBidi"/>
          <w:lang w:val="uk-UA"/>
        </w:rPr>
      </w:pPr>
      <w:r w:rsidRPr="007A5E94">
        <w:rPr>
          <w:rFonts w:asciiTheme="minorHAnsi" w:eastAsiaTheme="minorHAnsi" w:hAnsiTheme="minorHAnsi" w:cstheme="minorBidi"/>
          <w:lang w:val="uk-UA"/>
        </w:rPr>
        <w:lastRenderedPageBreak/>
        <w:t xml:space="preserve">Також </w:t>
      </w:r>
      <w:r>
        <w:rPr>
          <w:rFonts w:asciiTheme="minorHAnsi" w:eastAsiaTheme="minorHAnsi" w:hAnsiTheme="minorHAnsi" w:cstheme="minorBidi"/>
          <w:lang w:val="uk-UA"/>
        </w:rPr>
        <w:t>залишає бажати кращого відкритість комунальних підприємств</w:t>
      </w:r>
      <w:r w:rsidRPr="007A5E94">
        <w:rPr>
          <w:rFonts w:asciiTheme="minorHAnsi" w:eastAsiaTheme="minorHAnsi" w:hAnsiTheme="minorHAnsi" w:cstheme="minorBidi"/>
          <w:lang w:val="uk-UA"/>
        </w:rPr>
        <w:t xml:space="preserve"> – 11 міст зі 100 отримали у цій сфері 0 балів.</w:t>
      </w:r>
      <w:r w:rsidR="00A455F0">
        <w:rPr>
          <w:rFonts w:asciiTheme="minorHAnsi" w:eastAsiaTheme="minorHAnsi" w:hAnsiTheme="minorHAnsi" w:cstheme="minorBidi"/>
          <w:lang w:val="uk-UA"/>
        </w:rPr>
        <w:t xml:space="preserve"> </w:t>
      </w:r>
    </w:p>
    <w:p w:rsidR="00BA74C3" w:rsidRDefault="007A5E94" w:rsidP="00380EF1">
      <w:pPr>
        <w:jc w:val="both"/>
        <w:rPr>
          <w:rFonts w:asciiTheme="minorHAnsi" w:hAnsiTheme="minorHAnsi" w:cstheme="minorHAnsi"/>
          <w:i/>
          <w:lang w:val="uk-UA"/>
        </w:rPr>
      </w:pPr>
      <w:r w:rsidRPr="007A5E94">
        <w:rPr>
          <w:rFonts w:asciiTheme="minorHAnsi" w:eastAsiaTheme="minorHAnsi" w:hAnsiTheme="minorHAnsi" w:cstheme="minorBidi"/>
          <w:lang w:val="uk-UA"/>
        </w:rPr>
        <w:t>«</w:t>
      </w:r>
      <w:r w:rsidRPr="00942668">
        <w:rPr>
          <w:rFonts w:asciiTheme="minorHAnsi" w:eastAsiaTheme="minorHAnsi" w:hAnsiTheme="minorHAnsi" w:cstheme="minorBidi"/>
          <w:i/>
          <w:lang w:val="uk-UA"/>
        </w:rPr>
        <w:t>Це означає закритий доступ до інформацій про тарифи на послуги, порядок їх формування, відсутні фінансові звітів та результати аудитів, немає інформацій про керівників підприємств. Наглядові ради не створені, зовнішній аудит не замовляється</w:t>
      </w:r>
      <w:r w:rsidRPr="007A5E94">
        <w:rPr>
          <w:rFonts w:asciiTheme="minorHAnsi" w:eastAsiaTheme="minorHAnsi" w:hAnsiTheme="minorHAnsi" w:cstheme="minorBidi"/>
          <w:lang w:val="uk-UA"/>
        </w:rPr>
        <w:t xml:space="preserve">», - зазначив головний аналітик проекту </w:t>
      </w:r>
      <w:r w:rsidRPr="00942668">
        <w:rPr>
          <w:rFonts w:asciiTheme="minorHAnsi" w:eastAsiaTheme="minorHAnsi" w:hAnsiTheme="minorHAnsi" w:cstheme="minorBidi"/>
          <w:b/>
          <w:lang w:val="uk-UA"/>
        </w:rPr>
        <w:t xml:space="preserve">Олександр </w:t>
      </w:r>
      <w:proofErr w:type="spellStart"/>
      <w:r w:rsidRPr="00942668">
        <w:rPr>
          <w:rFonts w:asciiTheme="minorHAnsi" w:eastAsiaTheme="minorHAnsi" w:hAnsiTheme="minorHAnsi" w:cstheme="minorBidi"/>
          <w:b/>
          <w:lang w:val="uk-UA"/>
        </w:rPr>
        <w:t>Солонтай</w:t>
      </w:r>
      <w:proofErr w:type="spellEnd"/>
      <w:r w:rsidRPr="007A5E94">
        <w:rPr>
          <w:rFonts w:asciiTheme="minorHAnsi" w:eastAsiaTheme="minorHAnsi" w:hAnsiTheme="minorHAnsi" w:cstheme="minorBidi"/>
          <w:lang w:val="uk-UA"/>
        </w:rPr>
        <w:t>. Він наголосив, що громадам практично всіх міст слід дуже серйозно попрацювати над відкритістю та прозорістю</w:t>
      </w:r>
      <w:r w:rsidR="00860310">
        <w:rPr>
          <w:rFonts w:asciiTheme="minorHAnsi" w:eastAsiaTheme="minorHAnsi" w:hAnsiTheme="minorHAnsi" w:cstheme="minorBidi"/>
          <w:lang w:val="uk-UA"/>
        </w:rPr>
        <w:t>.</w:t>
      </w:r>
      <w:r w:rsidRPr="007A5E94">
        <w:rPr>
          <w:rFonts w:asciiTheme="minorHAnsi" w:eastAsiaTheme="minorHAnsi" w:hAnsiTheme="minorHAnsi" w:cstheme="minorBidi"/>
          <w:lang w:val="uk-UA"/>
        </w:rPr>
        <w:t xml:space="preserve"> </w:t>
      </w:r>
      <w:r w:rsidR="00BA11E4">
        <w:rPr>
          <w:rFonts w:asciiTheme="minorHAnsi" w:eastAsiaTheme="minorHAnsi" w:hAnsiTheme="minorHAnsi" w:cstheme="minorBidi"/>
          <w:lang w:val="uk-UA"/>
        </w:rPr>
        <w:t>Інакше</w:t>
      </w:r>
      <w:r w:rsidRPr="007A5E94">
        <w:rPr>
          <w:rFonts w:asciiTheme="minorHAnsi" w:eastAsiaTheme="minorHAnsi" w:hAnsiTheme="minorHAnsi" w:cstheme="minorBidi"/>
          <w:lang w:val="uk-UA"/>
        </w:rPr>
        <w:t xml:space="preserve"> зростання місцевих бюджетів </w:t>
      </w:r>
      <w:r w:rsidR="00BA11E4">
        <w:rPr>
          <w:rFonts w:asciiTheme="minorHAnsi" w:eastAsiaTheme="minorHAnsi" w:hAnsiTheme="minorHAnsi" w:cstheme="minorBidi"/>
          <w:lang w:val="uk-UA"/>
        </w:rPr>
        <w:t>призведе до</w:t>
      </w:r>
      <w:r w:rsidRPr="007A5E94">
        <w:rPr>
          <w:rFonts w:asciiTheme="minorHAnsi" w:eastAsiaTheme="minorHAnsi" w:hAnsiTheme="minorHAnsi" w:cstheme="minorBidi"/>
          <w:lang w:val="uk-UA"/>
        </w:rPr>
        <w:t xml:space="preserve"> зростання корупції на місцях. Щоб запобі</w:t>
      </w:r>
      <w:r w:rsidR="00BA11E4">
        <w:rPr>
          <w:rFonts w:asciiTheme="minorHAnsi" w:eastAsiaTheme="minorHAnsi" w:hAnsiTheme="minorHAnsi" w:cstheme="minorBidi"/>
          <w:lang w:val="uk-UA"/>
        </w:rPr>
        <w:t xml:space="preserve">гти новим злочинним </w:t>
      </w:r>
      <w:r w:rsidR="00942668">
        <w:rPr>
          <w:rFonts w:asciiTheme="minorHAnsi" w:eastAsiaTheme="minorHAnsi" w:hAnsiTheme="minorHAnsi" w:cstheme="minorBidi"/>
          <w:lang w:val="uk-UA"/>
        </w:rPr>
        <w:t>схемам, експерти</w:t>
      </w:r>
      <w:r w:rsidRPr="007A5E94">
        <w:rPr>
          <w:rFonts w:asciiTheme="minorHAnsi" w:eastAsiaTheme="minorHAnsi" w:hAnsiTheme="minorHAnsi" w:cstheme="minorBidi"/>
          <w:lang w:val="uk-UA"/>
        </w:rPr>
        <w:t xml:space="preserve"> пропону</w:t>
      </w:r>
      <w:r w:rsidR="00942668">
        <w:rPr>
          <w:rFonts w:asciiTheme="minorHAnsi" w:eastAsiaTheme="minorHAnsi" w:hAnsiTheme="minorHAnsi" w:cstheme="minorBidi"/>
          <w:lang w:val="uk-UA"/>
        </w:rPr>
        <w:t>ють</w:t>
      </w:r>
      <w:r w:rsidRPr="007A5E94">
        <w:rPr>
          <w:rFonts w:asciiTheme="minorHAnsi" w:eastAsiaTheme="minorHAnsi" w:hAnsiTheme="minorHAnsi" w:cstheme="minorBidi"/>
          <w:lang w:val="uk-UA"/>
        </w:rPr>
        <w:t xml:space="preserve"> конкретні </w:t>
      </w:r>
      <w:r w:rsidR="00942668" w:rsidRPr="007A5E94">
        <w:rPr>
          <w:rFonts w:asciiTheme="minorHAnsi" w:eastAsiaTheme="minorHAnsi" w:hAnsiTheme="minorHAnsi" w:cstheme="minorBidi"/>
          <w:lang w:val="uk-UA"/>
        </w:rPr>
        <w:t>індикато</w:t>
      </w:r>
      <w:r w:rsidR="00942668">
        <w:rPr>
          <w:rFonts w:asciiTheme="minorHAnsi" w:eastAsiaTheme="minorHAnsi" w:hAnsiTheme="minorHAnsi" w:cstheme="minorBidi"/>
          <w:lang w:val="uk-UA"/>
        </w:rPr>
        <w:t>ри</w:t>
      </w:r>
      <w:r w:rsidR="00BA11E4">
        <w:rPr>
          <w:rFonts w:asciiTheme="minorHAnsi" w:eastAsiaTheme="minorHAnsi" w:hAnsiTheme="minorHAnsi" w:cstheme="minorBidi"/>
          <w:lang w:val="uk-UA"/>
        </w:rPr>
        <w:t xml:space="preserve"> та рішення для органів місцевої влади</w:t>
      </w:r>
      <w:r w:rsidR="00942668">
        <w:rPr>
          <w:rFonts w:asciiTheme="minorHAnsi" w:eastAsiaTheme="minorHAnsi" w:hAnsiTheme="minorHAnsi" w:cstheme="minorBidi"/>
          <w:lang w:val="uk-UA"/>
        </w:rPr>
        <w:t xml:space="preserve">. </w:t>
      </w:r>
    </w:p>
    <w:p w:rsidR="00C33372" w:rsidRDefault="00C33372" w:rsidP="00380EF1">
      <w:pPr>
        <w:jc w:val="both"/>
        <w:rPr>
          <w:rFonts w:asciiTheme="minorHAnsi" w:hAnsiTheme="minorHAnsi" w:cstheme="minorHAnsi"/>
          <w:lang w:val="uk-UA"/>
        </w:rPr>
      </w:pPr>
      <w:r>
        <w:rPr>
          <w:rFonts w:asciiTheme="minorHAnsi" w:hAnsiTheme="minorHAnsi" w:cstheme="minorHAnsi"/>
          <w:lang w:val="uk-UA"/>
        </w:rPr>
        <w:t>ТІ Україна та Інститут</w:t>
      </w:r>
      <w:r w:rsidRPr="00C33372">
        <w:rPr>
          <w:rFonts w:asciiTheme="minorHAnsi" w:hAnsiTheme="minorHAnsi" w:cstheme="minorHAnsi"/>
          <w:lang w:val="uk-UA"/>
        </w:rPr>
        <w:t xml:space="preserve"> Політичної Освіти</w:t>
      </w:r>
      <w:r>
        <w:rPr>
          <w:rFonts w:asciiTheme="minorHAnsi" w:hAnsiTheme="minorHAnsi" w:cstheme="minorHAnsi"/>
          <w:lang w:val="uk-UA"/>
        </w:rPr>
        <w:t xml:space="preserve"> активно допомагають </w:t>
      </w:r>
      <w:r w:rsidR="009901DD">
        <w:rPr>
          <w:rFonts w:asciiTheme="minorHAnsi" w:hAnsiTheme="minorHAnsi" w:cstheme="minorHAnsi"/>
          <w:lang w:val="uk-UA"/>
        </w:rPr>
        <w:t>у</w:t>
      </w:r>
      <w:r>
        <w:rPr>
          <w:rFonts w:asciiTheme="minorHAnsi" w:hAnsiTheme="minorHAnsi" w:cstheme="minorHAnsi"/>
          <w:lang w:val="uk-UA"/>
        </w:rPr>
        <w:t>проваджувати прозорість та підзвітність на містах.</w:t>
      </w:r>
      <w:r>
        <w:rPr>
          <w:rFonts w:asciiTheme="minorHAnsi" w:hAnsiTheme="minorHAnsi" w:cstheme="minorHAnsi"/>
          <w:i/>
          <w:lang w:val="uk-UA"/>
        </w:rPr>
        <w:t xml:space="preserve"> </w:t>
      </w:r>
      <w:r>
        <w:rPr>
          <w:rFonts w:asciiTheme="minorHAnsi" w:hAnsiTheme="minorHAnsi" w:cstheme="minorHAnsi"/>
          <w:lang w:val="uk-UA"/>
        </w:rPr>
        <w:t>Наступним етапом після оприлюднення</w:t>
      </w:r>
      <w:r w:rsidRPr="00C33372">
        <w:rPr>
          <w:rFonts w:asciiTheme="minorHAnsi" w:hAnsiTheme="minorHAnsi" w:cstheme="minorHAnsi"/>
          <w:lang w:val="uk-UA"/>
        </w:rPr>
        <w:t xml:space="preserve"> рейтингу </w:t>
      </w:r>
      <w:r>
        <w:rPr>
          <w:rFonts w:asciiTheme="minorHAnsi" w:hAnsiTheme="minorHAnsi" w:cstheme="minorHAnsi"/>
          <w:lang w:val="uk-UA"/>
        </w:rPr>
        <w:t xml:space="preserve">стане навчання представників громадськості, журналістів та представників влади із 15 міст найкращим практикам прозорості та підзвітності. </w:t>
      </w:r>
      <w:r w:rsidRPr="00C33372">
        <w:rPr>
          <w:rFonts w:asciiTheme="minorHAnsi" w:hAnsiTheme="minorHAnsi" w:cstheme="minorHAnsi"/>
          <w:lang w:val="uk-UA"/>
        </w:rPr>
        <w:t>Команда проекту відкрита до контактів з регіональною владою, і готова допомагати всім її представникам, надавати консультації та рекомендації, коли вони будуть користуватися нашим інс</w:t>
      </w:r>
      <w:r>
        <w:rPr>
          <w:rFonts w:asciiTheme="minorHAnsi" w:hAnsiTheme="minorHAnsi" w:cstheme="minorHAnsi"/>
          <w:lang w:val="uk-UA"/>
        </w:rPr>
        <w:t>трументом підвищення прозорості</w:t>
      </w:r>
      <w:r w:rsidRPr="00C33372">
        <w:rPr>
          <w:rFonts w:asciiTheme="minorHAnsi" w:hAnsiTheme="minorHAnsi" w:cstheme="minorHAnsi"/>
          <w:lang w:val="uk-UA"/>
        </w:rPr>
        <w:t>.</w:t>
      </w:r>
      <w:bookmarkStart w:id="0" w:name="_GoBack"/>
    </w:p>
    <w:tbl>
      <w:tblPr>
        <w:tblStyle w:val="TableNormal"/>
        <w:tblpPr w:leftFromText="180" w:rightFromText="180" w:vertAnchor="text" w:horzAnchor="margin" w:tblpXSpec="center" w:tblpY="239"/>
        <w:tblW w:w="96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50"/>
        <w:gridCol w:w="4849"/>
      </w:tblGrid>
      <w:tr w:rsidR="006634C2" w:rsidRPr="00360F2C" w:rsidTr="006634C2">
        <w:trPr>
          <w:trHeight w:val="1424"/>
        </w:trPr>
        <w:tc>
          <w:tcPr>
            <w:tcW w:w="4850" w:type="dxa"/>
            <w:tcBorders>
              <w:top w:val="nil"/>
              <w:left w:val="nil"/>
              <w:bottom w:val="nil"/>
              <w:right w:val="nil"/>
            </w:tcBorders>
            <w:shd w:val="clear" w:color="auto" w:fill="auto"/>
            <w:tcMar>
              <w:top w:w="80" w:type="dxa"/>
              <w:left w:w="494" w:type="dxa"/>
              <w:bottom w:w="80" w:type="dxa"/>
              <w:right w:w="80" w:type="dxa"/>
            </w:tcMar>
          </w:tcPr>
          <w:p w:rsidR="006634C2" w:rsidRPr="00AA62AF" w:rsidRDefault="006634C2" w:rsidP="006634C2">
            <w:pPr>
              <w:ind w:left="414"/>
              <w:jc w:val="both"/>
              <w:rPr>
                <w:rFonts w:ascii="Calibri" w:eastAsia="Calibri" w:hAnsi="Calibri" w:cs="Calibri"/>
                <w:sz w:val="18"/>
                <w:szCs w:val="18"/>
              </w:rPr>
            </w:pPr>
            <w:r w:rsidRPr="00AA62AF">
              <w:rPr>
                <w:rFonts w:ascii="Calibri" w:hAnsi="Calibri"/>
                <w:b/>
                <w:bCs/>
                <w:sz w:val="18"/>
                <w:szCs w:val="18"/>
              </w:rPr>
              <w:t>Контакт для медіа:</w:t>
            </w:r>
            <w:r w:rsidRPr="00AA62AF">
              <w:rPr>
                <w:rFonts w:ascii="Calibri" w:hAnsi="Calibri"/>
                <w:sz w:val="18"/>
                <w:szCs w:val="18"/>
              </w:rPr>
              <w:t xml:space="preserve"> Ольга Тимченко, керівник департаменту комунікації </w:t>
            </w:r>
            <w:proofErr w:type="spellStart"/>
            <w:r w:rsidRPr="00AA62AF">
              <w:rPr>
                <w:rFonts w:ascii="Calibri" w:hAnsi="Calibri"/>
                <w:sz w:val="18"/>
                <w:szCs w:val="18"/>
              </w:rPr>
              <w:t>Transparency</w:t>
            </w:r>
            <w:proofErr w:type="spellEnd"/>
            <w:r w:rsidRPr="00AA62AF">
              <w:rPr>
                <w:rFonts w:ascii="Calibri" w:hAnsi="Calibri"/>
                <w:sz w:val="18"/>
                <w:szCs w:val="18"/>
              </w:rPr>
              <w:t xml:space="preserve"> </w:t>
            </w:r>
            <w:proofErr w:type="spellStart"/>
            <w:r w:rsidRPr="00AA62AF">
              <w:rPr>
                <w:rFonts w:ascii="Calibri" w:hAnsi="Calibri"/>
                <w:sz w:val="18"/>
                <w:szCs w:val="18"/>
              </w:rPr>
              <w:t>International</w:t>
            </w:r>
            <w:proofErr w:type="spellEnd"/>
            <w:r w:rsidRPr="00AA62AF">
              <w:rPr>
                <w:rFonts w:ascii="Calibri" w:hAnsi="Calibri"/>
                <w:sz w:val="18"/>
                <w:szCs w:val="18"/>
              </w:rPr>
              <w:t xml:space="preserve"> Україна</w:t>
            </w:r>
          </w:p>
          <w:p w:rsidR="006634C2" w:rsidRPr="00AA62AF" w:rsidRDefault="006634C2" w:rsidP="006634C2">
            <w:pPr>
              <w:ind w:left="414"/>
              <w:jc w:val="both"/>
              <w:rPr>
                <w:rFonts w:ascii="Calibri" w:eastAsia="Calibri" w:hAnsi="Calibri" w:cs="Calibri"/>
                <w:sz w:val="18"/>
                <w:szCs w:val="18"/>
              </w:rPr>
            </w:pPr>
            <w:proofErr w:type="spellStart"/>
            <w:r w:rsidRPr="00AA62AF">
              <w:rPr>
                <w:rFonts w:ascii="Calibri" w:hAnsi="Calibri"/>
                <w:sz w:val="18"/>
                <w:szCs w:val="18"/>
              </w:rPr>
              <w:t>м.т</w:t>
            </w:r>
            <w:proofErr w:type="spellEnd"/>
            <w:r w:rsidRPr="00AA62AF">
              <w:rPr>
                <w:rFonts w:ascii="Calibri" w:hAnsi="Calibri"/>
                <w:sz w:val="18"/>
                <w:szCs w:val="18"/>
              </w:rPr>
              <w:t>. 050-352-96-18,</w:t>
            </w:r>
          </w:p>
          <w:p w:rsidR="006634C2" w:rsidRPr="00AA62AF" w:rsidRDefault="006634C2" w:rsidP="006634C2">
            <w:pPr>
              <w:ind w:left="414"/>
              <w:jc w:val="both"/>
            </w:pPr>
            <w:r w:rsidRPr="00AA62AF">
              <w:rPr>
                <w:rFonts w:ascii="Calibri" w:hAnsi="Calibri"/>
                <w:sz w:val="18"/>
                <w:szCs w:val="18"/>
              </w:rPr>
              <w:t>e-</w:t>
            </w:r>
            <w:proofErr w:type="spellStart"/>
            <w:r w:rsidRPr="00AA62AF">
              <w:rPr>
                <w:rFonts w:ascii="Calibri" w:hAnsi="Calibri"/>
                <w:sz w:val="18"/>
                <w:szCs w:val="18"/>
              </w:rPr>
              <w:t>mail</w:t>
            </w:r>
            <w:proofErr w:type="spellEnd"/>
            <w:r w:rsidRPr="00AA62AF">
              <w:rPr>
                <w:rFonts w:ascii="Calibri" w:hAnsi="Calibri"/>
                <w:sz w:val="18"/>
                <w:szCs w:val="18"/>
              </w:rPr>
              <w:t xml:space="preserve">: </w:t>
            </w:r>
            <w:hyperlink r:id="rId7" w:history="1">
              <w:r w:rsidRPr="00AA62AF">
                <w:rPr>
                  <w:rStyle w:val="Hyperlink2"/>
                  <w:rFonts w:ascii="Calibri" w:hAnsi="Calibri"/>
                  <w:sz w:val="18"/>
                  <w:szCs w:val="18"/>
                </w:rPr>
                <w:t>tymchenko@ti-ukraine.org</w:t>
              </w:r>
            </w:hyperlink>
          </w:p>
        </w:tc>
        <w:tc>
          <w:tcPr>
            <w:tcW w:w="4849" w:type="dxa"/>
            <w:tcBorders>
              <w:top w:val="nil"/>
              <w:left w:val="nil"/>
              <w:bottom w:val="nil"/>
              <w:right w:val="nil"/>
            </w:tcBorders>
            <w:shd w:val="clear" w:color="auto" w:fill="auto"/>
            <w:tcMar>
              <w:top w:w="80" w:type="dxa"/>
              <w:left w:w="494" w:type="dxa"/>
              <w:bottom w:w="80" w:type="dxa"/>
              <w:right w:w="80" w:type="dxa"/>
            </w:tcMar>
          </w:tcPr>
          <w:p w:rsidR="006634C2" w:rsidRPr="00360F2C" w:rsidRDefault="006634C2" w:rsidP="006634C2">
            <w:pPr>
              <w:ind w:left="414"/>
              <w:jc w:val="both"/>
            </w:pPr>
            <w:proofErr w:type="spellStart"/>
            <w:r w:rsidRPr="00AA62AF">
              <w:rPr>
                <w:rFonts w:ascii="Calibri" w:hAnsi="Calibri"/>
                <w:b/>
                <w:bCs/>
                <w:sz w:val="18"/>
                <w:szCs w:val="18"/>
              </w:rPr>
              <w:t>Transparency</w:t>
            </w:r>
            <w:proofErr w:type="spellEnd"/>
            <w:r w:rsidRPr="00AA62AF">
              <w:rPr>
                <w:rFonts w:ascii="Calibri" w:hAnsi="Calibri"/>
                <w:b/>
                <w:bCs/>
                <w:sz w:val="18"/>
                <w:szCs w:val="18"/>
              </w:rPr>
              <w:t xml:space="preserve"> </w:t>
            </w:r>
            <w:proofErr w:type="spellStart"/>
            <w:r w:rsidRPr="00AA62AF">
              <w:rPr>
                <w:rFonts w:ascii="Calibri" w:hAnsi="Calibri"/>
                <w:b/>
                <w:bCs/>
                <w:sz w:val="18"/>
                <w:szCs w:val="18"/>
              </w:rPr>
              <w:t>International</w:t>
            </w:r>
            <w:proofErr w:type="spellEnd"/>
            <w:r w:rsidRPr="00AA62AF">
              <w:rPr>
                <w:rFonts w:ascii="Calibri" w:hAnsi="Calibri"/>
                <w:b/>
                <w:bCs/>
                <w:sz w:val="18"/>
                <w:szCs w:val="18"/>
              </w:rPr>
              <w:t xml:space="preserve"> Україна</w:t>
            </w:r>
            <w:r w:rsidRPr="00AA62AF">
              <w:rPr>
                <w:rFonts w:ascii="Calibri" w:hAnsi="Calibri"/>
                <w:sz w:val="18"/>
                <w:szCs w:val="18"/>
              </w:rPr>
              <w:t xml:space="preserve"> є представництвом глобальної антикорупційної мережі </w:t>
            </w:r>
            <w:proofErr w:type="spellStart"/>
            <w:r w:rsidRPr="00AA62AF">
              <w:rPr>
                <w:rFonts w:ascii="Calibri" w:hAnsi="Calibri"/>
                <w:sz w:val="18"/>
                <w:szCs w:val="18"/>
              </w:rPr>
              <w:t>Transparency</w:t>
            </w:r>
            <w:proofErr w:type="spellEnd"/>
            <w:r w:rsidRPr="00AA62AF">
              <w:rPr>
                <w:rFonts w:ascii="Calibri" w:hAnsi="Calibri"/>
                <w:sz w:val="18"/>
                <w:szCs w:val="18"/>
              </w:rPr>
              <w:t xml:space="preserve"> </w:t>
            </w:r>
            <w:proofErr w:type="spellStart"/>
            <w:r w:rsidRPr="00AA62AF">
              <w:rPr>
                <w:rFonts w:ascii="Calibri" w:hAnsi="Calibri"/>
                <w:sz w:val="18"/>
                <w:szCs w:val="18"/>
              </w:rPr>
              <w:t>International</w:t>
            </w:r>
            <w:proofErr w:type="spellEnd"/>
            <w:r w:rsidRPr="00AA62AF">
              <w:rPr>
                <w:rFonts w:ascii="Calibri" w:hAnsi="Calibri"/>
                <w:sz w:val="18"/>
                <w:szCs w:val="18"/>
              </w:rPr>
              <w:t xml:space="preserve">,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 </w:t>
            </w:r>
            <w:hyperlink r:id="rId8" w:history="1">
              <w:r w:rsidRPr="00AA62AF">
                <w:rPr>
                  <w:rStyle w:val="Hyperlink2"/>
                  <w:rFonts w:ascii="Calibri" w:hAnsi="Calibri"/>
                  <w:sz w:val="18"/>
                  <w:szCs w:val="18"/>
                </w:rPr>
                <w:t>www.ti-ukraine.org</w:t>
              </w:r>
            </w:hyperlink>
          </w:p>
        </w:tc>
      </w:tr>
      <w:bookmarkEnd w:id="0"/>
    </w:tbl>
    <w:p w:rsidR="00C33372" w:rsidRDefault="00C33372" w:rsidP="00BA11E4">
      <w:pPr>
        <w:jc w:val="both"/>
        <w:rPr>
          <w:rFonts w:asciiTheme="minorHAnsi" w:hAnsiTheme="minorHAnsi" w:cstheme="minorHAnsi"/>
          <w:lang w:val="uk-UA"/>
        </w:rPr>
      </w:pPr>
    </w:p>
    <w:p w:rsidR="00BA11E4" w:rsidRDefault="00BA11E4" w:rsidP="00BA11E4">
      <w:pPr>
        <w:jc w:val="both"/>
        <w:rPr>
          <w:rFonts w:asciiTheme="minorHAnsi" w:hAnsiTheme="minorHAnsi" w:cstheme="minorHAnsi"/>
        </w:rPr>
      </w:pPr>
    </w:p>
    <w:sectPr w:rsidR="00BA11E4">
      <w:headerReference w:type="default" r:id="rId9"/>
      <w:pgSz w:w="11906" w:h="16838"/>
      <w:pgMar w:top="1134" w:right="849" w:bottom="1134"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FE" w:rsidRDefault="00DC4CFE">
      <w:pPr>
        <w:spacing w:after="0" w:line="240" w:lineRule="auto"/>
      </w:pPr>
      <w:r>
        <w:separator/>
      </w:r>
    </w:p>
  </w:endnote>
  <w:endnote w:type="continuationSeparator" w:id="0">
    <w:p w:rsidR="00DC4CFE" w:rsidRDefault="00DC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FE" w:rsidRDefault="00DC4CFE">
      <w:pPr>
        <w:spacing w:after="0" w:line="240" w:lineRule="auto"/>
      </w:pPr>
      <w:r>
        <w:separator/>
      </w:r>
    </w:p>
  </w:footnote>
  <w:footnote w:type="continuationSeparator" w:id="0">
    <w:p w:rsidR="00DC4CFE" w:rsidRDefault="00DC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C3" w:rsidRDefault="004843E9">
    <w:pPr>
      <w:pStyle w:val="a3"/>
      <w:tabs>
        <w:tab w:val="clear" w:pos="9355"/>
      </w:tabs>
      <w:ind w:right="-710"/>
    </w:pPr>
    <w:r>
      <w:rPr>
        <w:noProof/>
        <w:lang w:val="uk-UA" w:eastAsia="uk-UA"/>
      </w:rPr>
      <w:drawing>
        <wp:anchor distT="0" distB="0" distL="114300" distR="114300" simplePos="0" relativeHeight="2" behindDoc="0" locked="0" layoutInCell="1" allowOverlap="1">
          <wp:simplePos x="0" y="0"/>
          <wp:positionH relativeFrom="margin">
            <wp:align>center</wp:align>
          </wp:positionH>
          <wp:positionV relativeFrom="page">
            <wp:align>top</wp:align>
          </wp:positionV>
          <wp:extent cx="7562849" cy="1372292"/>
          <wp:effectExtent l="0" t="0" r="0" b="0"/>
          <wp:wrapSquare wrapText="bothSides"/>
          <wp:docPr id="4097" name="Image1" descr="C:\Users\ekormyliuk\AppData\Local\Microsoft\Windows\Temporary Internet Files\Content.Outlook\GLA4HRO7\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2849" cy="1372292"/>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64A6EF0"/>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ACB87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44085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64028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AF143C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1F8214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908CB328"/>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98AA2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91AAFCC"/>
    <w:lvl w:ilvl="0" w:tplc="3850C9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0000000A"/>
    <w:multiLevelType w:val="multilevel"/>
    <w:tmpl w:val="BF4EB9B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961A0A9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15:restartNumberingAfterBreak="0">
    <w:nsid w:val="0000000C"/>
    <w:multiLevelType w:val="hybridMultilevel"/>
    <w:tmpl w:val="81286474"/>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12" w15:restartNumberingAfterBreak="0">
    <w:nsid w:val="6A0F7ECE"/>
    <w:multiLevelType w:val="hybridMultilevel"/>
    <w:tmpl w:val="DFC2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2"/>
  </w:num>
  <w:num w:numId="5">
    <w:abstractNumId w:val="5"/>
  </w:num>
  <w:num w:numId="6">
    <w:abstractNumId w:val="6"/>
    <w:lvlOverride w:ilvl="0">
      <w:lvl w:ilvl="0">
        <w:start w:val="1"/>
        <w:numFmt w:val="decimal"/>
        <w:lvlText w:val="%1."/>
        <w:lvlJc w:val="left"/>
      </w:lvl>
    </w:lvlOverride>
  </w:num>
  <w:num w:numId="7">
    <w:abstractNumId w:val="1"/>
  </w:num>
  <w:num w:numId="8">
    <w:abstractNumId w:val="3"/>
  </w:num>
  <w:num w:numId="9">
    <w:abstractNumId w:val="0"/>
    <w:lvlOverride w:ilvl="0">
      <w:lvl w:ilvl="0">
        <w:start w:val="1"/>
        <w:numFmt w:val="decimal"/>
        <w:lvlText w:val="%1."/>
        <w:lvlJc w:val="left"/>
      </w:lvl>
    </w:lvlOverride>
  </w:num>
  <w:num w:numId="10">
    <w:abstractNumId w:val="7"/>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C3"/>
    <w:rsid w:val="00015D42"/>
    <w:rsid w:val="000545DE"/>
    <w:rsid w:val="00165FB3"/>
    <w:rsid w:val="002122F8"/>
    <w:rsid w:val="00337D1A"/>
    <w:rsid w:val="00380EF1"/>
    <w:rsid w:val="004843E9"/>
    <w:rsid w:val="005570D2"/>
    <w:rsid w:val="00564091"/>
    <w:rsid w:val="00566946"/>
    <w:rsid w:val="005B1AEA"/>
    <w:rsid w:val="00642291"/>
    <w:rsid w:val="006634C2"/>
    <w:rsid w:val="007A5E94"/>
    <w:rsid w:val="00860310"/>
    <w:rsid w:val="00870BA8"/>
    <w:rsid w:val="00906E78"/>
    <w:rsid w:val="00942668"/>
    <w:rsid w:val="009901DD"/>
    <w:rsid w:val="009B7D60"/>
    <w:rsid w:val="00A15097"/>
    <w:rsid w:val="00A455F0"/>
    <w:rsid w:val="00A66754"/>
    <w:rsid w:val="00AA62AF"/>
    <w:rsid w:val="00BA11E4"/>
    <w:rsid w:val="00BA74C3"/>
    <w:rsid w:val="00C020BC"/>
    <w:rsid w:val="00C0710B"/>
    <w:rsid w:val="00C33372"/>
    <w:rsid w:val="00DB3D7C"/>
    <w:rsid w:val="00DC4CFE"/>
    <w:rsid w:val="00E71694"/>
    <w:rsid w:val="00EC20BD"/>
    <w:rsid w:val="00F02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3CBE9-408A-480F-B641-DA0045EE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mbria" w:eastAsia="Cambria" w:hAnsi="Cambria" w:cs="Times New Roman"/>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style>
  <w:style w:type="paragraph" w:styleId="a5">
    <w:name w:val="footer"/>
    <w:basedOn w:val="a"/>
    <w:link w:val="a6"/>
    <w:uiPriority w:val="9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style>
  <w:style w:type="character" w:styleId="a7">
    <w:name w:val="Hyperlink"/>
    <w:uiPriority w:val="99"/>
    <w:rPr>
      <w:color w:val="0000FF"/>
      <w:u w:val="single"/>
    </w:rPr>
  </w:style>
  <w:style w:type="character" w:styleId="a8">
    <w:name w:val="Emphasis"/>
    <w:uiPriority w:val="20"/>
    <w:qFormat/>
    <w:rPr>
      <w:i/>
      <w:iCs/>
    </w:rPr>
  </w:style>
  <w:style w:type="character" w:styleId="a9">
    <w:name w:val="line number"/>
    <w:basedOn w:val="a0"/>
  </w:style>
  <w:style w:type="paragraph" w:styleId="aa">
    <w:name w:val="List Paragraph"/>
    <w:basedOn w:val="a"/>
    <w:uiPriority w:val="34"/>
    <w:qFormat/>
    <w:pPr>
      <w:ind w:left="720"/>
      <w:contextualSpacing/>
    </w:pPr>
  </w:style>
  <w:style w:type="paragraph" w:styleId="ab">
    <w:name w:val="Balloon Text"/>
    <w:basedOn w:val="a"/>
    <w:link w:val="ac"/>
    <w:uiPriority w:val="99"/>
    <w:pPr>
      <w:spacing w:after="0" w:line="240" w:lineRule="auto"/>
    </w:pPr>
    <w:rPr>
      <w:rFonts w:ascii="Tahoma" w:hAnsi="Tahoma" w:cs="Tahoma"/>
      <w:sz w:val="16"/>
      <w:szCs w:val="16"/>
    </w:rPr>
  </w:style>
  <w:style w:type="character" w:customStyle="1" w:styleId="ac">
    <w:name w:val="Текст выноски Знак"/>
    <w:basedOn w:val="a0"/>
    <w:link w:val="ab"/>
    <w:uiPriority w:val="99"/>
    <w:rPr>
      <w:rFonts w:ascii="Tahoma" w:eastAsia="Cambria" w:hAnsi="Tahoma" w:cs="Tahoma"/>
      <w:sz w:val="16"/>
      <w:szCs w:val="16"/>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styleId="ad">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style>
  <w:style w:type="character" w:customStyle="1" w:styleId="textexposedshow">
    <w:name w:val="text_exposed_show"/>
    <w:basedOn w:val="a0"/>
  </w:style>
  <w:style w:type="character" w:customStyle="1" w:styleId="5yl5">
    <w:name w:val="_5yl5"/>
    <w:basedOn w:val="a0"/>
  </w:style>
  <w:style w:type="paragraph" w:customStyle="1" w:styleId="xmsonormal">
    <w:name w:val="x_msonormal"/>
    <w:basedOn w:val="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xmsolistparagraph">
    <w:name w:val="x_msolistparagraph"/>
    <w:basedOn w:val="a"/>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e">
    <w:name w:val="FollowedHyperlink"/>
    <w:basedOn w:val="a0"/>
    <w:uiPriority w:val="99"/>
    <w:rPr>
      <w:color w:val="954F72"/>
      <w:u w:val="single"/>
    </w:rPr>
  </w:style>
  <w:style w:type="character" w:styleId="af">
    <w:name w:val="annotation reference"/>
    <w:basedOn w:val="a0"/>
    <w:uiPriority w:val="99"/>
    <w:rPr>
      <w:sz w:val="16"/>
      <w:szCs w:val="16"/>
    </w:rPr>
  </w:style>
  <w:style w:type="paragraph" w:styleId="af0">
    <w:name w:val="annotation text"/>
    <w:basedOn w:val="a"/>
    <w:link w:val="af1"/>
    <w:uiPriority w:val="99"/>
    <w:pPr>
      <w:spacing w:line="240" w:lineRule="auto"/>
    </w:pPr>
    <w:rPr>
      <w:sz w:val="20"/>
      <w:szCs w:val="20"/>
    </w:rPr>
  </w:style>
  <w:style w:type="character" w:customStyle="1" w:styleId="af1">
    <w:name w:val="Текст примечания Знак"/>
    <w:basedOn w:val="a0"/>
    <w:link w:val="af0"/>
    <w:uiPriority w:val="99"/>
    <w:rPr>
      <w:rFonts w:ascii="Cambria" w:eastAsia="Cambria" w:hAnsi="Cambria" w:cs="Times New Roman"/>
      <w:sz w:val="20"/>
      <w:szCs w:val="20"/>
    </w:rPr>
  </w:style>
  <w:style w:type="paragraph" w:styleId="af2">
    <w:name w:val="annotation subject"/>
    <w:basedOn w:val="af0"/>
    <w:next w:val="af0"/>
    <w:link w:val="af3"/>
    <w:uiPriority w:val="99"/>
    <w:rPr>
      <w:b/>
      <w:bCs/>
    </w:rPr>
  </w:style>
  <w:style w:type="character" w:customStyle="1" w:styleId="af3">
    <w:name w:val="Тема примечания Знак"/>
    <w:basedOn w:val="af1"/>
    <w:link w:val="af2"/>
    <w:uiPriority w:val="99"/>
    <w:rPr>
      <w:rFonts w:ascii="Cambria" w:eastAsia="Cambria" w:hAnsi="Cambria" w:cs="Times New Roman"/>
      <w:b/>
      <w:bCs/>
      <w:sz w:val="20"/>
      <w:szCs w:val="20"/>
    </w:rPr>
  </w:style>
  <w:style w:type="paragraph" w:styleId="af4">
    <w:name w:val="No Spacing"/>
    <w:uiPriority w:val="1"/>
    <w:qFormat/>
    <w:pPr>
      <w:spacing w:after="0" w:line="240" w:lineRule="auto"/>
    </w:pPr>
    <w:rPr>
      <w:rFonts w:ascii="Cambria" w:eastAsia="Cambria" w:hAnsi="Cambria" w:cs="Times New Roman"/>
    </w:rPr>
  </w:style>
  <w:style w:type="character" w:styleId="af5">
    <w:name w:val="Subtle Emphasis"/>
    <w:basedOn w:val="a0"/>
    <w:uiPriority w:val="19"/>
    <w:qFormat/>
    <w:rPr>
      <w:rFonts w:asciiTheme="minorHAnsi" w:hAnsiTheme="minorHAnsi"/>
      <w:i w:val="0"/>
      <w:iCs/>
      <w:color w:val="auto"/>
      <w:sz w:val="24"/>
      <w:lang w:val="uk-UA"/>
    </w:rPr>
  </w:style>
  <w:style w:type="table" w:customStyle="1" w:styleId="TableNormal">
    <w:name w:val="Table Normal"/>
    <w:rsid w:val="006634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Hyperlink2">
    <w:name w:val="Hyperlink.2"/>
    <w:basedOn w:val="a0"/>
    <w:rsid w:val="006634C2"/>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3" Type="http://schemas.openxmlformats.org/officeDocument/2006/relationships/settings" Target="settings.xml"/><Relationship Id="rId7" Type="http://schemas.openxmlformats.org/officeDocument/2006/relationships/hyperlink" Target="mailto:tymchenko@ti-ukra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3112</Words>
  <Characters>1774</Characters>
  <Application>Microsoft Office Word</Application>
  <DocSecurity>0</DocSecurity>
  <Lines>14</Lines>
  <Paragraphs>9</Paragraphs>
  <ScaleCrop>false</ScaleCrop>
  <Company>SPecialiST RePack</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Kormyliuk</dc:creator>
  <cp:lastModifiedBy>Пользователь Windows</cp:lastModifiedBy>
  <cp:revision>41</cp:revision>
  <cp:lastPrinted>2017-06-26T11:27:00Z</cp:lastPrinted>
  <dcterms:created xsi:type="dcterms:W3CDTF">2017-06-26T12:41:00Z</dcterms:created>
  <dcterms:modified xsi:type="dcterms:W3CDTF">2017-06-27T09:04:00Z</dcterms:modified>
</cp:coreProperties>
</file>