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769BAF50" w:rsidR="00303DAE" w:rsidRPr="00787F13" w:rsidRDefault="00513000" w:rsidP="00151874">
      <w:pPr>
        <w:spacing w:after="0"/>
        <w:jc w:val="both"/>
        <w:rPr>
          <w:rFonts w:ascii="Calibri" w:eastAsia="Calibri" w:hAnsi="Calibri" w:cs="Calibri"/>
          <w:lang w:val="uk-UA"/>
        </w:rPr>
      </w:pPr>
      <w:r w:rsidRPr="00787F13">
        <w:rPr>
          <w:rFonts w:ascii="Calibri" w:hAnsi="Calibri"/>
          <w:lang w:val="uk-UA"/>
        </w:rPr>
        <w:t>ПРЕС-</w:t>
      </w:r>
      <w:r w:rsidR="00462DCE" w:rsidRPr="00787F13">
        <w:rPr>
          <w:rFonts w:ascii="Calibri" w:hAnsi="Calibri"/>
          <w:lang w:val="uk-UA"/>
        </w:rPr>
        <w:t>РЕЛІЗ</w:t>
      </w:r>
    </w:p>
    <w:p w14:paraId="02EE6D89" w14:textId="786EB91F" w:rsidR="00303DAE" w:rsidRPr="00787F13" w:rsidRDefault="006F4A47" w:rsidP="00151874">
      <w:pPr>
        <w:spacing w:after="0"/>
        <w:jc w:val="both"/>
        <w:rPr>
          <w:rFonts w:ascii="Calibri" w:hAnsi="Calibri"/>
          <w:lang w:val="uk-UA"/>
        </w:rPr>
      </w:pPr>
      <w:r w:rsidRPr="00787F13">
        <w:rPr>
          <w:rFonts w:ascii="Calibri" w:hAnsi="Calibri"/>
          <w:lang w:val="uk-UA"/>
        </w:rPr>
        <w:t>24</w:t>
      </w:r>
      <w:r w:rsidR="00D71AAE" w:rsidRPr="00787F13">
        <w:rPr>
          <w:rFonts w:ascii="Calibri" w:hAnsi="Calibri"/>
          <w:lang w:val="uk-UA"/>
        </w:rPr>
        <w:t>.07</w:t>
      </w:r>
      <w:r w:rsidR="00513000" w:rsidRPr="00787F13">
        <w:rPr>
          <w:rFonts w:ascii="Calibri" w:hAnsi="Calibri"/>
          <w:lang w:val="uk-UA"/>
        </w:rPr>
        <w:t>.2017</w:t>
      </w:r>
    </w:p>
    <w:p w14:paraId="086F08E5" w14:textId="77777777" w:rsidR="00C54AEB" w:rsidRPr="00787F13" w:rsidRDefault="00C54AEB" w:rsidP="00151874">
      <w:pPr>
        <w:spacing w:after="0"/>
        <w:jc w:val="both"/>
        <w:rPr>
          <w:rFonts w:ascii="Calibri" w:hAnsi="Calibri"/>
          <w:lang w:val="uk-UA"/>
        </w:rPr>
      </w:pPr>
    </w:p>
    <w:p w14:paraId="1FDD98ED" w14:textId="3F56B543" w:rsidR="006E4192" w:rsidRPr="00787F13" w:rsidRDefault="00A63C3A" w:rsidP="00151874">
      <w:pPr>
        <w:spacing w:after="0"/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  <w:lang w:val="uk-UA"/>
        </w:rPr>
        <w:t xml:space="preserve">Кодекс </w:t>
      </w:r>
      <w:r w:rsidR="00DB6948">
        <w:rPr>
          <w:rFonts w:ascii="Calibri" w:eastAsia="Calibri" w:hAnsi="Calibri" w:cs="Calibri"/>
          <w:b/>
          <w:lang w:val="uk-UA"/>
        </w:rPr>
        <w:t>етики службовців</w:t>
      </w:r>
      <w:r>
        <w:rPr>
          <w:rFonts w:ascii="Calibri" w:eastAsia="Calibri" w:hAnsi="Calibri" w:cs="Calibri"/>
          <w:b/>
          <w:lang w:val="uk-UA"/>
        </w:rPr>
        <w:t xml:space="preserve"> зробить Одесу більш прозорою - дослідження</w:t>
      </w:r>
    </w:p>
    <w:p w14:paraId="5026A24C" w14:textId="77777777" w:rsidR="00151874" w:rsidRPr="00787F13" w:rsidRDefault="00151874" w:rsidP="00151874">
      <w:pPr>
        <w:spacing w:after="0"/>
        <w:jc w:val="both"/>
        <w:rPr>
          <w:rFonts w:ascii="Calibri" w:eastAsia="Calibri" w:hAnsi="Calibri" w:cs="Calibri"/>
          <w:b/>
          <w:lang w:val="uk-UA"/>
        </w:rPr>
      </w:pPr>
    </w:p>
    <w:p w14:paraId="7DB9CAFE" w14:textId="463C9CC2" w:rsidR="00787F13" w:rsidRDefault="00787F13" w:rsidP="00A63C3A">
      <w:pPr>
        <w:ind w:firstLine="709"/>
        <w:contextualSpacing/>
        <w:jc w:val="both"/>
        <w:rPr>
          <w:rFonts w:ascii="Calibri" w:hAnsi="Calibri" w:cs="Calibri"/>
          <w:i/>
          <w:lang w:val="uk-UA"/>
        </w:rPr>
      </w:pPr>
      <w:r w:rsidRPr="006813D6">
        <w:rPr>
          <w:rFonts w:ascii="Calibri" w:hAnsi="Calibri" w:cs="Calibri"/>
          <w:i/>
          <w:lang w:val="uk-UA"/>
        </w:rPr>
        <w:t xml:space="preserve">Одеса демонструє відносну прозорість сфери інформації про роботу органів місцевої влади, а також можливість доступу та участі громадськості у процесі прийняття рішень. Однак місто є абсолютно закритим стосовно житлової політики, соціальних послуг та професійної етики щодо конфлікту інтересів. Такі результати дозволили Одесі посісти </w:t>
      </w:r>
      <w:r w:rsidR="00E75ADC" w:rsidRPr="006813D6">
        <w:rPr>
          <w:rFonts w:ascii="Calibri" w:hAnsi="Calibri" w:cs="Calibri"/>
          <w:i/>
          <w:lang w:val="uk-UA"/>
        </w:rPr>
        <w:t xml:space="preserve">39 місце </w:t>
      </w:r>
      <w:r w:rsidRPr="006813D6">
        <w:rPr>
          <w:rFonts w:ascii="Calibri" w:hAnsi="Calibri" w:cs="Calibri"/>
          <w:i/>
          <w:lang w:val="uk-UA"/>
        </w:rPr>
        <w:t xml:space="preserve">у рейтингу прозорості </w:t>
      </w:r>
      <w:r w:rsidR="00E75ADC" w:rsidRPr="006813D6">
        <w:rPr>
          <w:rFonts w:ascii="Calibri" w:hAnsi="Calibri" w:cs="Calibri"/>
          <w:i/>
          <w:lang w:val="uk-UA"/>
        </w:rPr>
        <w:t>сотні міст України і отримати 32,53</w:t>
      </w:r>
      <w:r w:rsidRPr="006813D6">
        <w:rPr>
          <w:rFonts w:ascii="Calibri" w:hAnsi="Calibri" w:cs="Calibri"/>
          <w:i/>
          <w:lang w:val="uk-UA"/>
        </w:rPr>
        <w:t xml:space="preserve"> балів зі 100 можливих. </w:t>
      </w:r>
      <w:hyperlink r:id="rId7" w:history="1">
        <w:r w:rsidRPr="006813D6">
          <w:rPr>
            <w:rStyle w:val="a3"/>
            <w:rFonts w:ascii="Calibri" w:hAnsi="Calibri" w:cs="Calibri"/>
            <w:i/>
            <w:color w:val="2E74B5" w:themeColor="accent1" w:themeShade="BF"/>
            <w:lang w:val="uk-UA"/>
          </w:rPr>
          <w:t>Дослідження </w:t>
        </w:r>
      </w:hyperlink>
      <w:r w:rsidRPr="006813D6">
        <w:rPr>
          <w:rFonts w:ascii="Calibri" w:hAnsi="Calibri" w:cs="Calibri"/>
          <w:i/>
          <w:lang w:val="uk-UA"/>
        </w:rPr>
        <w:t xml:space="preserve">було проведене українським представництвом глобального руху </w:t>
      </w:r>
      <w:proofErr w:type="spellStart"/>
      <w:r w:rsidRPr="006813D6">
        <w:rPr>
          <w:rFonts w:ascii="Calibri" w:hAnsi="Calibri" w:cs="Calibri"/>
          <w:i/>
          <w:lang w:val="uk-UA"/>
        </w:rPr>
        <w:t>Transparency</w:t>
      </w:r>
      <w:proofErr w:type="spellEnd"/>
      <w:r w:rsidRPr="006813D6">
        <w:rPr>
          <w:rFonts w:ascii="Calibri" w:hAnsi="Calibri" w:cs="Calibri"/>
          <w:i/>
          <w:lang w:val="uk-UA"/>
        </w:rPr>
        <w:t xml:space="preserve"> </w:t>
      </w:r>
      <w:proofErr w:type="spellStart"/>
      <w:r w:rsidRPr="006813D6">
        <w:rPr>
          <w:rFonts w:ascii="Calibri" w:hAnsi="Calibri" w:cs="Calibri"/>
          <w:i/>
          <w:lang w:val="uk-UA"/>
        </w:rPr>
        <w:t>International</w:t>
      </w:r>
      <w:proofErr w:type="spellEnd"/>
      <w:r w:rsidRPr="006813D6">
        <w:rPr>
          <w:rFonts w:ascii="Calibri" w:hAnsi="Calibri" w:cs="Calibri"/>
          <w:i/>
          <w:lang w:val="uk-UA"/>
        </w:rPr>
        <w:t xml:space="preserve"> спільно з Інститутом Політичної Освіти. Топ-міст вибудували за 91 показником у 13 сферах, зокрема, бюджетуванні, землекористуванні, кадровій політиці, </w:t>
      </w:r>
      <w:proofErr w:type="spellStart"/>
      <w:r w:rsidRPr="006813D6">
        <w:rPr>
          <w:rFonts w:ascii="Calibri" w:hAnsi="Calibri" w:cs="Calibri"/>
          <w:i/>
          <w:lang w:val="uk-UA"/>
        </w:rPr>
        <w:t>закупівлях</w:t>
      </w:r>
      <w:proofErr w:type="spellEnd"/>
      <w:r w:rsidRPr="006813D6">
        <w:rPr>
          <w:rFonts w:ascii="Calibri" w:hAnsi="Calibri" w:cs="Calibri"/>
          <w:i/>
          <w:lang w:val="uk-UA"/>
        </w:rPr>
        <w:t>, наявності онлайн-послуг та інших.</w:t>
      </w:r>
    </w:p>
    <w:p w14:paraId="4D021289" w14:textId="77777777" w:rsidR="00DB6948" w:rsidRPr="006813D6" w:rsidRDefault="00DB6948" w:rsidP="00A63C3A">
      <w:pPr>
        <w:ind w:firstLine="709"/>
        <w:contextualSpacing/>
        <w:jc w:val="both"/>
        <w:rPr>
          <w:rFonts w:ascii="Calibri" w:hAnsi="Calibri" w:cs="Calibri"/>
          <w:i/>
          <w:lang w:val="uk-UA"/>
        </w:rPr>
      </w:pPr>
    </w:p>
    <w:p w14:paraId="5BAD79E4" w14:textId="0F9EA360" w:rsidR="00787F13" w:rsidRPr="00A63C3A" w:rsidRDefault="00787F13" w:rsidP="00A63C3A">
      <w:pPr>
        <w:ind w:firstLine="709"/>
        <w:contextualSpacing/>
        <w:jc w:val="both"/>
        <w:rPr>
          <w:rFonts w:ascii="Calibri" w:hAnsi="Calibri" w:cs="Calibri"/>
          <w:lang w:val="uk-UA"/>
        </w:rPr>
      </w:pPr>
      <w:r w:rsidRPr="00A63C3A">
        <w:rPr>
          <w:rFonts w:ascii="Calibri" w:hAnsi="Calibri" w:cs="Calibri"/>
          <w:lang w:val="uk-UA"/>
        </w:rPr>
        <w:t xml:space="preserve">У цілому </w:t>
      </w:r>
      <w:r w:rsidR="00E75ADC" w:rsidRPr="00A63C3A">
        <w:rPr>
          <w:rFonts w:ascii="Calibri" w:hAnsi="Calibri" w:cs="Calibri"/>
          <w:lang w:val="uk-UA"/>
        </w:rPr>
        <w:t>32,53</w:t>
      </w:r>
      <w:r w:rsidRPr="00A63C3A">
        <w:rPr>
          <w:rFonts w:ascii="Calibri" w:hAnsi="Calibri" w:cs="Calibri"/>
          <w:lang w:val="uk-UA"/>
        </w:rPr>
        <w:t xml:space="preserve"> балів для обласного центру є небажаним показником. Адже головне місто області повинне задавати тон. Та брати приклад із прозорості у </w:t>
      </w:r>
      <w:r w:rsidR="00493F03">
        <w:rPr>
          <w:rFonts w:ascii="Calibri" w:hAnsi="Calibri" w:cs="Calibri"/>
          <w:lang w:val="uk-UA"/>
        </w:rPr>
        <w:t>Одеси</w:t>
      </w:r>
      <w:r w:rsidRPr="00A63C3A">
        <w:rPr>
          <w:rFonts w:ascii="Calibri" w:hAnsi="Calibri" w:cs="Calibri"/>
          <w:lang w:val="uk-UA"/>
        </w:rPr>
        <w:t xml:space="preserve"> поки зарано.</w:t>
      </w:r>
    </w:p>
    <w:p w14:paraId="5E6A1C10" w14:textId="086C8CDD" w:rsidR="00E75ADC" w:rsidRPr="00DB6948" w:rsidRDefault="00E75ADC" w:rsidP="00A63C3A">
      <w:pPr>
        <w:ind w:firstLine="709"/>
        <w:contextualSpacing/>
        <w:jc w:val="both"/>
        <w:rPr>
          <w:rFonts w:ascii="Calibri" w:hAnsi="Calibri" w:cs="Calibri"/>
          <w:color w:val="auto"/>
          <w:lang w:val="uk-UA"/>
        </w:rPr>
      </w:pPr>
      <w:proofErr w:type="spellStart"/>
      <w:r w:rsidRPr="00A63C3A">
        <w:rPr>
          <w:rFonts w:ascii="Calibri" w:hAnsi="Calibri" w:cs="Calibri"/>
          <w:lang w:val="uk-UA"/>
        </w:rPr>
        <w:t>Найзакритішими</w:t>
      </w:r>
      <w:proofErr w:type="spellEnd"/>
      <w:r w:rsidR="00787F13" w:rsidRPr="00A63C3A">
        <w:rPr>
          <w:rFonts w:ascii="Calibri" w:hAnsi="Calibri" w:cs="Calibri"/>
          <w:lang w:val="uk-UA"/>
        </w:rPr>
        <w:t xml:space="preserve"> у </w:t>
      </w:r>
      <w:r w:rsidRPr="00A63C3A">
        <w:rPr>
          <w:rFonts w:ascii="Calibri" w:hAnsi="Calibri" w:cs="Calibri"/>
          <w:lang w:val="uk-UA"/>
        </w:rPr>
        <w:t>Одесі виявили</w:t>
      </w:r>
      <w:r w:rsidR="00787F13" w:rsidRPr="00A63C3A">
        <w:rPr>
          <w:rFonts w:ascii="Calibri" w:hAnsi="Calibri" w:cs="Calibri"/>
          <w:lang w:val="uk-UA"/>
        </w:rPr>
        <w:t>ся сфер</w:t>
      </w:r>
      <w:r w:rsidRPr="00A63C3A">
        <w:rPr>
          <w:rFonts w:ascii="Calibri" w:hAnsi="Calibri" w:cs="Calibri"/>
          <w:lang w:val="uk-UA"/>
        </w:rPr>
        <w:t>и</w:t>
      </w:r>
      <w:r w:rsidR="00787F13" w:rsidRPr="00A63C3A">
        <w:rPr>
          <w:rFonts w:ascii="Calibri" w:hAnsi="Calibri" w:cs="Calibri"/>
          <w:lang w:val="uk-UA"/>
        </w:rPr>
        <w:t xml:space="preserve"> </w:t>
      </w:r>
      <w:r w:rsidRPr="00A63C3A">
        <w:rPr>
          <w:rFonts w:ascii="Calibri" w:hAnsi="Calibri" w:cs="Calibri"/>
          <w:lang w:val="uk-UA"/>
        </w:rPr>
        <w:t xml:space="preserve">житлової політики та соціальних </w:t>
      </w:r>
      <w:r w:rsidR="00787F13" w:rsidRPr="00A63C3A">
        <w:rPr>
          <w:rFonts w:ascii="Calibri" w:hAnsi="Calibri" w:cs="Calibri"/>
          <w:lang w:val="uk-UA"/>
        </w:rPr>
        <w:t xml:space="preserve">послуг – </w:t>
      </w:r>
      <w:r w:rsidRPr="00A63C3A">
        <w:rPr>
          <w:rFonts w:ascii="Calibri" w:hAnsi="Calibri" w:cs="Calibri"/>
          <w:lang w:val="uk-UA"/>
        </w:rPr>
        <w:t xml:space="preserve">по </w:t>
      </w:r>
      <w:r w:rsidR="00787F13" w:rsidRPr="00A63C3A">
        <w:rPr>
          <w:rFonts w:ascii="Calibri" w:hAnsi="Calibri" w:cs="Calibri"/>
          <w:lang w:val="uk-UA"/>
        </w:rPr>
        <w:t xml:space="preserve">0 балів. У відкритих джерелах немає навіть переліку установ соціальної допомоги, вже не кажучи про надання цими органами електронних послуг та звітування про надану допомогу. </w:t>
      </w:r>
      <w:r w:rsidRPr="00A63C3A">
        <w:rPr>
          <w:rFonts w:ascii="Calibri" w:hAnsi="Calibri" w:cs="Calibri"/>
          <w:lang w:val="uk-UA"/>
        </w:rPr>
        <w:t xml:space="preserve">Одна з рекомендацій дослідження щодо більшої відкритості житлової політики – </w:t>
      </w:r>
      <w:r w:rsidRPr="00DB6948">
        <w:rPr>
          <w:rFonts w:ascii="Calibri" w:hAnsi="Calibri" w:cs="Calibri"/>
          <w:color w:val="auto"/>
          <w:lang w:val="uk-UA"/>
        </w:rPr>
        <w:t xml:space="preserve">створити </w:t>
      </w:r>
      <w:r w:rsidRPr="00DB6948">
        <w:rPr>
          <w:rFonts w:ascii="Calibri" w:hAnsi="Calibri" w:cs="Calibri"/>
          <w:color w:val="auto"/>
          <w:shd w:val="clear" w:color="auto" w:fill="FFFFFF"/>
          <w:lang w:val="uk-UA"/>
        </w:rPr>
        <w:t>систему електронної реєстрації заяв на житло та онлайн-чергу, яка дозволить заявникам відстежувати їхній статус, оприлюднювати інформацію про способи та критерії розподілу житла, зробити доступною інформацію про житлові приміщення, які знаходяться у власності громади та оновлювати її не рідше одного разу на 6 місяців.</w:t>
      </w:r>
    </w:p>
    <w:p w14:paraId="4ECE3394" w14:textId="31459D78" w:rsidR="00787F13" w:rsidRPr="00A63C3A" w:rsidRDefault="00787F13" w:rsidP="00A63C3A">
      <w:pPr>
        <w:ind w:firstLine="709"/>
        <w:contextualSpacing/>
        <w:jc w:val="both"/>
        <w:rPr>
          <w:rFonts w:ascii="Calibri" w:hAnsi="Calibri" w:cs="Calibri"/>
          <w:lang w:val="uk-UA"/>
        </w:rPr>
      </w:pPr>
      <w:r w:rsidRPr="00A63C3A">
        <w:rPr>
          <w:rFonts w:ascii="Calibri" w:hAnsi="Calibri" w:cs="Calibri"/>
          <w:lang w:val="uk-UA"/>
        </w:rPr>
        <w:t>Найкраща ситуація у місті спостерігається у сфері інформації про роботу органів місцевої влади (</w:t>
      </w:r>
      <w:r w:rsidR="009600CC" w:rsidRPr="00A63C3A">
        <w:rPr>
          <w:rFonts w:ascii="Calibri" w:hAnsi="Calibri" w:cs="Calibri"/>
          <w:lang w:val="uk-UA"/>
        </w:rPr>
        <w:t>6,6</w:t>
      </w:r>
      <w:r w:rsidRPr="00A63C3A">
        <w:rPr>
          <w:rFonts w:ascii="Calibri" w:hAnsi="Calibri" w:cs="Calibri"/>
          <w:lang w:val="uk-UA"/>
        </w:rPr>
        <w:t xml:space="preserve"> балів), </w:t>
      </w:r>
      <w:r w:rsidR="009600CC" w:rsidRPr="00A63C3A">
        <w:rPr>
          <w:rFonts w:ascii="Calibri" w:hAnsi="Calibri" w:cs="Calibri"/>
          <w:lang w:val="uk-UA"/>
        </w:rPr>
        <w:t>доступу та участі (6 балів), кадрових питань (4 бали), землекористування та будівельної політики (3,7 балів)</w:t>
      </w:r>
      <w:r w:rsidRPr="00A63C3A">
        <w:rPr>
          <w:rFonts w:ascii="Calibri" w:hAnsi="Calibri" w:cs="Calibri"/>
          <w:lang w:val="uk-UA"/>
        </w:rPr>
        <w:t xml:space="preserve">. Але над прозорістю цих сфер </w:t>
      </w:r>
      <w:r w:rsidR="009600CC" w:rsidRPr="00A63C3A">
        <w:rPr>
          <w:rFonts w:ascii="Calibri" w:hAnsi="Calibri" w:cs="Calibri"/>
          <w:lang w:val="uk-UA"/>
        </w:rPr>
        <w:t>все одно</w:t>
      </w:r>
      <w:r w:rsidRPr="00A63C3A">
        <w:rPr>
          <w:rFonts w:ascii="Calibri" w:hAnsi="Calibri" w:cs="Calibri"/>
          <w:lang w:val="uk-UA"/>
        </w:rPr>
        <w:t xml:space="preserve"> потрібно ще працювати.</w:t>
      </w:r>
    </w:p>
    <w:p w14:paraId="3C2F2054" w14:textId="1A87E0E4" w:rsidR="00A63C3A" w:rsidRPr="0022289D" w:rsidRDefault="00460BFA" w:rsidP="00A63C3A">
      <w:pPr>
        <w:spacing w:after="0"/>
        <w:ind w:firstLine="709"/>
        <w:contextualSpacing/>
        <w:jc w:val="both"/>
        <w:rPr>
          <w:rFonts w:ascii="Calibri" w:hAnsi="Calibri" w:cs="Calibri"/>
          <w:color w:val="auto"/>
          <w:shd w:val="clear" w:color="auto" w:fill="FFFFFF"/>
          <w:lang w:val="uk-UA"/>
        </w:rPr>
      </w:pPr>
      <w:r w:rsidRPr="0022289D">
        <w:rPr>
          <w:rFonts w:ascii="Calibri" w:eastAsia="Calibri" w:hAnsi="Calibri" w:cs="Calibri"/>
          <w:color w:val="auto"/>
          <w:lang w:val="uk-UA"/>
        </w:rPr>
        <w:t xml:space="preserve">За словами керівниці проекту </w:t>
      </w:r>
      <w:proofErr w:type="spellStart"/>
      <w:r w:rsidRPr="0022289D">
        <w:rPr>
          <w:rFonts w:ascii="Calibri" w:eastAsia="Calibri" w:hAnsi="Calibri" w:cs="Calibri"/>
          <w:color w:val="auto"/>
          <w:lang w:val="uk-UA"/>
        </w:rPr>
        <w:t>Transparency</w:t>
      </w:r>
      <w:proofErr w:type="spellEnd"/>
      <w:r w:rsidRPr="0022289D">
        <w:rPr>
          <w:rFonts w:ascii="Calibri" w:eastAsia="Calibri" w:hAnsi="Calibri" w:cs="Calibri"/>
          <w:color w:val="auto"/>
          <w:lang w:val="uk-UA"/>
        </w:rPr>
        <w:t xml:space="preserve"> </w:t>
      </w:r>
      <w:proofErr w:type="spellStart"/>
      <w:r w:rsidRPr="0022289D">
        <w:rPr>
          <w:rFonts w:ascii="Calibri" w:eastAsia="Calibri" w:hAnsi="Calibri" w:cs="Calibri"/>
          <w:color w:val="auto"/>
          <w:lang w:val="uk-UA"/>
        </w:rPr>
        <w:t>International</w:t>
      </w:r>
      <w:proofErr w:type="spellEnd"/>
      <w:r w:rsidRPr="0022289D">
        <w:rPr>
          <w:rFonts w:ascii="Calibri" w:eastAsia="Calibri" w:hAnsi="Calibri" w:cs="Calibri"/>
          <w:color w:val="auto"/>
          <w:lang w:val="uk-UA"/>
        </w:rPr>
        <w:t xml:space="preserve"> Україна «Розбудова прозорості в містах України» </w:t>
      </w:r>
      <w:r w:rsidRPr="0022289D">
        <w:rPr>
          <w:rFonts w:ascii="Calibri" w:eastAsia="Calibri" w:hAnsi="Calibri" w:cs="Calibri"/>
          <w:b/>
          <w:color w:val="auto"/>
          <w:lang w:val="uk-UA"/>
        </w:rPr>
        <w:t>Катерини Цибенко</w:t>
      </w:r>
      <w:r w:rsidR="00691A93" w:rsidRPr="0022289D">
        <w:rPr>
          <w:rFonts w:ascii="Calibri" w:eastAsia="Calibri" w:hAnsi="Calibri" w:cs="Calibri"/>
          <w:color w:val="auto"/>
          <w:lang w:val="uk-UA"/>
        </w:rPr>
        <w:t>:</w:t>
      </w:r>
      <w:r w:rsidRPr="0022289D">
        <w:rPr>
          <w:rFonts w:ascii="Calibri" w:eastAsia="Calibri" w:hAnsi="Calibri" w:cs="Calibri"/>
          <w:color w:val="auto"/>
          <w:lang w:val="uk-UA"/>
        </w:rPr>
        <w:t xml:space="preserve"> </w:t>
      </w:r>
      <w:r w:rsidR="00691A93" w:rsidRPr="0022289D">
        <w:rPr>
          <w:rFonts w:ascii="Calibri" w:hAnsi="Calibri" w:cs="Calibri"/>
          <w:i/>
          <w:color w:val="auto"/>
          <w:lang w:val="uk-UA"/>
        </w:rPr>
        <w:t>«</w:t>
      </w:r>
      <w:r w:rsidR="009600CC" w:rsidRPr="0022289D">
        <w:rPr>
          <w:rFonts w:ascii="Calibri" w:hAnsi="Calibri" w:cs="Calibri"/>
          <w:i/>
          <w:color w:val="auto"/>
          <w:lang w:val="uk-UA"/>
        </w:rPr>
        <w:t>На</w:t>
      </w:r>
      <w:r w:rsidR="004320AA">
        <w:rPr>
          <w:rFonts w:ascii="Calibri" w:hAnsi="Calibri" w:cs="Calibri"/>
          <w:i/>
          <w:color w:val="auto"/>
          <w:lang w:val="uk-UA"/>
        </w:rPr>
        <w:t xml:space="preserve"> </w:t>
      </w:r>
      <w:r w:rsidR="009600CC" w:rsidRPr="0022289D">
        <w:rPr>
          <w:rFonts w:ascii="Calibri" w:hAnsi="Calibri" w:cs="Calibri"/>
          <w:i/>
          <w:color w:val="auto"/>
          <w:lang w:val="uk-UA"/>
        </w:rPr>
        <w:t xml:space="preserve">жаль, залишає бажати кращого сфера професійної етики та </w:t>
      </w:r>
      <w:r w:rsidR="00A63C3A" w:rsidRPr="0022289D">
        <w:rPr>
          <w:rFonts w:ascii="Calibri" w:hAnsi="Calibri" w:cs="Calibri"/>
          <w:i/>
          <w:color w:val="auto"/>
          <w:lang w:val="uk-UA"/>
        </w:rPr>
        <w:t xml:space="preserve">запобігання </w:t>
      </w:r>
      <w:r w:rsidR="009600CC" w:rsidRPr="0022289D">
        <w:rPr>
          <w:rFonts w:ascii="Calibri" w:hAnsi="Calibri" w:cs="Calibri"/>
          <w:i/>
          <w:color w:val="auto"/>
          <w:lang w:val="uk-UA"/>
        </w:rPr>
        <w:t>конфлікту інтересів в Одесі. Ця сфера отримала лише 0,33 бали що дуже мало</w:t>
      </w:r>
      <w:r w:rsidR="0008642B">
        <w:rPr>
          <w:rFonts w:ascii="Calibri" w:hAnsi="Calibri" w:cs="Calibri"/>
          <w:i/>
          <w:color w:val="auto"/>
          <w:lang w:val="uk-UA"/>
        </w:rPr>
        <w:t xml:space="preserve"> для такого стратегічно </w:t>
      </w:r>
      <w:bookmarkStart w:id="0" w:name="_GoBack"/>
      <w:bookmarkEnd w:id="0"/>
      <w:r w:rsidR="00A63C3A" w:rsidRPr="0022289D">
        <w:rPr>
          <w:rFonts w:ascii="Calibri" w:hAnsi="Calibri" w:cs="Calibri"/>
          <w:i/>
          <w:color w:val="auto"/>
          <w:lang w:val="uk-UA"/>
        </w:rPr>
        <w:t xml:space="preserve">важливого портового міста. </w:t>
      </w:r>
      <w:r w:rsidR="009600CC" w:rsidRPr="0022289D">
        <w:rPr>
          <w:rFonts w:ascii="Calibri" w:hAnsi="Calibri" w:cs="Calibri"/>
          <w:i/>
          <w:color w:val="auto"/>
          <w:shd w:val="clear" w:color="auto" w:fill="FFFFFF"/>
          <w:lang w:val="uk-UA"/>
        </w:rPr>
        <w:t xml:space="preserve">Ми рекомендуємо </w:t>
      </w:r>
      <w:r w:rsidR="00A63C3A" w:rsidRPr="0022289D">
        <w:rPr>
          <w:rFonts w:ascii="Calibri" w:hAnsi="Calibri" w:cs="Calibri"/>
          <w:i/>
          <w:color w:val="auto"/>
          <w:shd w:val="clear" w:color="auto" w:fill="FFFFFF"/>
          <w:lang w:val="uk-UA"/>
        </w:rPr>
        <w:t>Одесі</w:t>
      </w:r>
      <w:r w:rsidR="009600CC" w:rsidRPr="0022289D">
        <w:rPr>
          <w:rFonts w:ascii="Calibri" w:hAnsi="Calibri" w:cs="Calibri"/>
          <w:i/>
          <w:color w:val="auto"/>
          <w:shd w:val="clear" w:color="auto" w:fill="FFFFFF"/>
          <w:lang w:val="uk-UA"/>
        </w:rPr>
        <w:t xml:space="preserve"> ухвалити Кодекс депутатської етики та Кодекс етики службовців, запровадити спеціальний інструмент для повідомлення про неетичну поведінку, дискримінацію або конфлікт інтересів службовців, чітко вказати на офіційному веб-сайті політичну приналежність депутатів та ухвалити спеціальний документ, який регулює запобігання конфлікту інтересів</w:t>
      </w:r>
      <w:r w:rsidR="00A63C3A" w:rsidRPr="0022289D">
        <w:rPr>
          <w:rFonts w:ascii="Calibri" w:hAnsi="Calibri" w:cs="Calibri"/>
          <w:i/>
          <w:color w:val="auto"/>
          <w:shd w:val="clear" w:color="auto" w:fill="FFFFFF"/>
          <w:lang w:val="uk-UA"/>
        </w:rPr>
        <w:t>»</w:t>
      </w:r>
      <w:r w:rsidR="009600CC" w:rsidRPr="0022289D">
        <w:rPr>
          <w:rFonts w:ascii="Calibri" w:hAnsi="Calibri" w:cs="Calibri"/>
          <w:color w:val="auto"/>
          <w:shd w:val="clear" w:color="auto" w:fill="FFFFFF"/>
          <w:lang w:val="uk-UA"/>
        </w:rPr>
        <w:t>.</w:t>
      </w:r>
    </w:p>
    <w:p w14:paraId="1E9A1B51" w14:textId="336796A2" w:rsidR="00A63C3A" w:rsidRPr="0022289D" w:rsidRDefault="00A63C3A" w:rsidP="00A63C3A">
      <w:pPr>
        <w:spacing w:after="0"/>
        <w:ind w:firstLine="709"/>
        <w:contextualSpacing/>
        <w:jc w:val="both"/>
        <w:rPr>
          <w:rFonts w:ascii="Calibri" w:hAnsi="Calibri" w:cs="Calibri"/>
          <w:color w:val="auto"/>
          <w:lang w:val="uk-UA"/>
        </w:rPr>
      </w:pPr>
      <w:r w:rsidRPr="0022289D">
        <w:rPr>
          <w:rFonts w:ascii="Calibri" w:hAnsi="Calibri" w:cs="Calibri"/>
          <w:color w:val="auto"/>
          <w:shd w:val="clear" w:color="auto" w:fill="FFFFFF"/>
          <w:lang w:val="uk-UA"/>
        </w:rPr>
        <w:t xml:space="preserve">Крім того, як зауважив </w:t>
      </w:r>
      <w:r w:rsidRPr="0022289D">
        <w:rPr>
          <w:rFonts w:ascii="Calibri" w:hAnsi="Calibri" w:cs="Calibri"/>
          <w:b/>
          <w:color w:val="auto"/>
          <w:shd w:val="clear" w:color="auto" w:fill="FFFFFF"/>
          <w:lang w:val="uk-UA"/>
        </w:rPr>
        <w:t>Анатолій Бойко</w:t>
      </w:r>
      <w:r w:rsidR="00B26A60">
        <w:rPr>
          <w:rFonts w:ascii="Calibri" w:hAnsi="Calibri" w:cs="Calibri"/>
          <w:b/>
          <w:color w:val="auto"/>
          <w:shd w:val="clear" w:color="auto" w:fill="FFFFFF"/>
          <w:lang w:val="uk-UA"/>
        </w:rPr>
        <w:t>,</w:t>
      </w:r>
      <w:r w:rsidRPr="0022289D">
        <w:rPr>
          <w:rFonts w:ascii="Calibri" w:hAnsi="Calibri" w:cs="Calibri"/>
          <w:color w:val="auto"/>
          <w:shd w:val="clear" w:color="auto" w:fill="FFFFFF"/>
          <w:lang w:val="uk-UA"/>
        </w:rPr>
        <w:t xml:space="preserve"> </w:t>
      </w:r>
      <w:r w:rsidR="0022289D" w:rsidRPr="0022289D">
        <w:rPr>
          <w:rFonts w:ascii="Calibri" w:hAnsi="Calibri" w:cs="Calibri"/>
          <w:color w:val="auto"/>
          <w:lang w:val="uk-UA"/>
        </w:rPr>
        <w:t xml:space="preserve">представник громадського партнерства «За прозорі місцеві бюджети»: </w:t>
      </w:r>
      <w:r w:rsidR="0022289D" w:rsidRPr="0022289D">
        <w:rPr>
          <w:rFonts w:ascii="Calibri" w:hAnsi="Calibri" w:cs="Calibri"/>
          <w:i/>
          <w:color w:val="auto"/>
          <w:lang w:val="uk-UA"/>
        </w:rPr>
        <w:t>«</w:t>
      </w:r>
      <w:r w:rsidRPr="0022289D">
        <w:rPr>
          <w:rFonts w:ascii="Calibri" w:hAnsi="Calibri" w:cs="Calibri"/>
          <w:i/>
          <w:color w:val="auto"/>
          <w:lang w:val="uk-UA"/>
        </w:rPr>
        <w:t>Рівень прозорості діяльності Одеської міської ради останнім часом суттєво погіршився. Якщо раніше був лише пасивний супротив та приховування інформації, то тепер мерія стала активно протидіяти доступу до інформаці</w:t>
      </w:r>
      <w:r w:rsidR="0022289D" w:rsidRPr="0022289D">
        <w:rPr>
          <w:rFonts w:ascii="Calibri" w:hAnsi="Calibri" w:cs="Calibri"/>
          <w:i/>
          <w:color w:val="auto"/>
          <w:lang w:val="uk-UA"/>
        </w:rPr>
        <w:t>ї»</w:t>
      </w:r>
      <w:r w:rsidR="0022289D" w:rsidRPr="0022289D">
        <w:rPr>
          <w:rFonts w:ascii="Calibri" w:hAnsi="Calibri" w:cs="Calibri"/>
          <w:color w:val="auto"/>
          <w:lang w:val="uk-UA"/>
        </w:rPr>
        <w:t>.</w:t>
      </w:r>
    </w:p>
    <w:p w14:paraId="561581BC" w14:textId="0AA44EE4" w:rsidR="00DE620A" w:rsidRPr="00A63C3A" w:rsidRDefault="000928EB" w:rsidP="00A63C3A">
      <w:pPr>
        <w:spacing w:after="0"/>
        <w:ind w:firstLine="709"/>
        <w:contextualSpacing/>
        <w:jc w:val="both"/>
        <w:rPr>
          <w:rFonts w:ascii="Calibri" w:hAnsi="Calibri" w:cs="Calibri"/>
          <w:color w:val="auto"/>
          <w:shd w:val="clear" w:color="auto" w:fill="FFFFFF"/>
          <w:lang w:val="uk-UA"/>
        </w:rPr>
      </w:pPr>
      <w:proofErr w:type="spellStart"/>
      <w:r w:rsidRPr="00A63C3A">
        <w:rPr>
          <w:rFonts w:ascii="Calibri" w:eastAsia="Calibri" w:hAnsi="Calibri" w:cs="Calibri"/>
          <w:color w:val="auto"/>
          <w:lang w:val="uk-UA"/>
        </w:rPr>
        <w:t>Transparency</w:t>
      </w:r>
      <w:proofErr w:type="spellEnd"/>
      <w:r w:rsidRPr="00A63C3A">
        <w:rPr>
          <w:rFonts w:ascii="Calibri" w:eastAsia="Calibri" w:hAnsi="Calibri" w:cs="Calibri"/>
          <w:color w:val="auto"/>
          <w:lang w:val="uk-UA"/>
        </w:rPr>
        <w:t xml:space="preserve"> </w:t>
      </w:r>
      <w:proofErr w:type="spellStart"/>
      <w:r w:rsidRPr="00A63C3A">
        <w:rPr>
          <w:rFonts w:ascii="Calibri" w:eastAsia="Calibri" w:hAnsi="Calibri" w:cs="Calibri"/>
          <w:color w:val="auto"/>
          <w:lang w:val="uk-UA"/>
        </w:rPr>
        <w:t>International</w:t>
      </w:r>
      <w:proofErr w:type="spellEnd"/>
      <w:r w:rsidRPr="00A63C3A">
        <w:rPr>
          <w:rFonts w:ascii="Calibri" w:eastAsia="Calibri" w:hAnsi="Calibri" w:cs="Calibri"/>
          <w:color w:val="auto"/>
          <w:lang w:val="uk-UA"/>
        </w:rPr>
        <w:t xml:space="preserve"> Україна та Інститут Політичної Освіти </w:t>
      </w:r>
      <w:r w:rsidR="008F0594" w:rsidRPr="00A63C3A">
        <w:rPr>
          <w:rFonts w:ascii="Calibri" w:hAnsi="Calibri" w:cs="Calibri"/>
          <w:color w:val="auto"/>
          <w:shd w:val="clear" w:color="auto" w:fill="FFFFFF"/>
          <w:lang w:val="uk-UA"/>
        </w:rPr>
        <w:t>готові співпрацювати з владою та місцевими активістами</w:t>
      </w:r>
      <w:r w:rsidRPr="00A63C3A">
        <w:rPr>
          <w:rFonts w:ascii="Calibri" w:hAnsi="Calibri" w:cs="Calibri"/>
          <w:color w:val="auto"/>
          <w:shd w:val="clear" w:color="auto" w:fill="FFFFFF"/>
          <w:lang w:val="uk-UA"/>
        </w:rPr>
        <w:t xml:space="preserve"> </w:t>
      </w:r>
      <w:r w:rsidR="0038225D">
        <w:rPr>
          <w:rFonts w:ascii="Calibri" w:hAnsi="Calibri" w:cs="Calibri"/>
          <w:color w:val="auto"/>
          <w:shd w:val="clear" w:color="auto" w:fill="FFFFFF"/>
          <w:lang w:val="uk-UA"/>
        </w:rPr>
        <w:t>Одеси</w:t>
      </w:r>
      <w:r w:rsidR="008F0594" w:rsidRPr="00A63C3A">
        <w:rPr>
          <w:rFonts w:ascii="Calibri" w:hAnsi="Calibri" w:cs="Calibri"/>
          <w:color w:val="auto"/>
          <w:shd w:val="clear" w:color="auto" w:fill="FFFFFF"/>
          <w:lang w:val="uk-UA"/>
        </w:rPr>
        <w:t>,</w:t>
      </w:r>
      <w:r w:rsidRPr="00A63C3A">
        <w:rPr>
          <w:rFonts w:ascii="Calibri" w:hAnsi="Calibri" w:cs="Calibri"/>
          <w:color w:val="auto"/>
          <w:shd w:val="clear" w:color="auto" w:fill="FFFFFF"/>
          <w:lang w:val="uk-UA"/>
        </w:rPr>
        <w:t xml:space="preserve"> а також</w:t>
      </w:r>
      <w:r w:rsidR="008F0594" w:rsidRPr="00A63C3A">
        <w:rPr>
          <w:rFonts w:ascii="Calibri" w:hAnsi="Calibri" w:cs="Calibri"/>
          <w:color w:val="auto"/>
          <w:shd w:val="clear" w:color="auto" w:fill="FFFFFF"/>
          <w:lang w:val="uk-UA"/>
        </w:rPr>
        <w:t xml:space="preserve"> надавати свої рекомендації та поради</w:t>
      </w:r>
      <w:r w:rsidRPr="00A63C3A">
        <w:rPr>
          <w:rFonts w:ascii="Calibri" w:hAnsi="Calibri" w:cs="Calibri"/>
          <w:color w:val="auto"/>
          <w:shd w:val="clear" w:color="auto" w:fill="FFFFFF"/>
          <w:lang w:val="uk-UA"/>
        </w:rPr>
        <w:t xml:space="preserve"> щодо підвищення прозорості міста</w:t>
      </w:r>
      <w:r w:rsidR="008F0594" w:rsidRPr="00A63C3A">
        <w:rPr>
          <w:rFonts w:ascii="Calibri" w:hAnsi="Calibri" w:cs="Calibri"/>
          <w:color w:val="auto"/>
          <w:shd w:val="clear" w:color="auto" w:fill="FFFFFF"/>
          <w:lang w:val="uk-UA"/>
        </w:rPr>
        <w:t>. Адже</w:t>
      </w:r>
      <w:r w:rsidRPr="00A63C3A">
        <w:rPr>
          <w:rFonts w:ascii="Calibri" w:hAnsi="Calibri" w:cs="Calibri"/>
          <w:color w:val="auto"/>
          <w:shd w:val="clear" w:color="auto" w:fill="FFFFFF"/>
          <w:lang w:val="uk-UA"/>
        </w:rPr>
        <w:t xml:space="preserve"> на сьогодні в країні відбувається процес децентралізації влад</w:t>
      </w:r>
      <w:r w:rsidR="006A2D78" w:rsidRPr="00A63C3A">
        <w:rPr>
          <w:rFonts w:ascii="Calibri" w:hAnsi="Calibri" w:cs="Calibri"/>
          <w:color w:val="auto"/>
          <w:shd w:val="clear" w:color="auto" w:fill="FFFFFF"/>
          <w:lang w:val="uk-UA"/>
        </w:rPr>
        <w:t>и</w:t>
      </w:r>
      <w:r w:rsidRPr="00A63C3A">
        <w:rPr>
          <w:rFonts w:ascii="Calibri" w:hAnsi="Calibri" w:cs="Calibri"/>
          <w:color w:val="auto"/>
          <w:shd w:val="clear" w:color="auto" w:fill="FFFFFF"/>
          <w:lang w:val="uk-UA"/>
        </w:rPr>
        <w:t xml:space="preserve">, </w:t>
      </w:r>
      <w:r w:rsidR="00BA72F0" w:rsidRPr="00A63C3A">
        <w:rPr>
          <w:rFonts w:ascii="Calibri" w:hAnsi="Calibri" w:cs="Calibri"/>
          <w:color w:val="auto"/>
          <w:shd w:val="clear" w:color="auto" w:fill="FFFFFF"/>
          <w:lang w:val="uk-UA"/>
        </w:rPr>
        <w:t>разом з цим ми не маємо</w:t>
      </w:r>
      <w:r w:rsidR="008F0594" w:rsidRPr="00A63C3A">
        <w:rPr>
          <w:rFonts w:ascii="Calibri" w:hAnsi="Calibri" w:cs="Calibri"/>
          <w:color w:val="auto"/>
          <w:shd w:val="clear" w:color="auto" w:fill="FFFFFF"/>
          <w:lang w:val="uk-UA"/>
        </w:rPr>
        <w:t xml:space="preserve"> допустити децентралізації корупції</w:t>
      </w:r>
      <w:r w:rsidRPr="00A63C3A">
        <w:rPr>
          <w:rFonts w:ascii="Calibri" w:hAnsi="Calibri" w:cs="Calibri"/>
          <w:color w:val="auto"/>
          <w:shd w:val="clear" w:color="auto" w:fill="FFFFFF"/>
          <w:lang w:val="uk-UA"/>
        </w:rPr>
        <w:t>.</w:t>
      </w:r>
    </w:p>
    <w:p w14:paraId="30E743E6" w14:textId="3CA5BC14" w:rsidR="00DE620A" w:rsidRPr="0038225D" w:rsidRDefault="00691A93" w:rsidP="00A63C3A">
      <w:pPr>
        <w:ind w:firstLine="709"/>
        <w:contextualSpacing/>
        <w:jc w:val="both"/>
        <w:rPr>
          <w:rFonts w:ascii="Calibri" w:hAnsi="Calibri" w:cs="Calibri"/>
          <w:bCs/>
          <w:color w:val="auto"/>
          <w:lang w:val="uk-UA"/>
        </w:rPr>
      </w:pPr>
      <w:r w:rsidRPr="00A63C3A">
        <w:rPr>
          <w:rFonts w:ascii="Calibri" w:hAnsi="Calibri" w:cs="Calibri"/>
          <w:lang w:val="uk-UA"/>
        </w:rPr>
        <w:br/>
      </w:r>
      <w:r w:rsidR="00DE620A" w:rsidRPr="00A63C3A">
        <w:rPr>
          <w:rFonts w:ascii="Calibri" w:hAnsi="Calibri" w:cs="Calibri"/>
          <w:bCs/>
          <w:color w:val="auto"/>
          <w:lang w:val="uk-UA"/>
        </w:rPr>
        <w:t>Проект «Розбудова прозорості в містах України» здійснюється за підтримки Фонду демократії ООН.</w:t>
      </w:r>
      <w:r w:rsidR="0038225D">
        <w:rPr>
          <w:rFonts w:ascii="Calibri" w:hAnsi="Calibri" w:cs="Calibri"/>
          <w:bCs/>
          <w:color w:val="auto"/>
          <w:lang w:val="uk-UA"/>
        </w:rPr>
        <w:t xml:space="preserve"> </w:t>
      </w:r>
      <w:r w:rsidR="0038225D">
        <w:rPr>
          <w:rFonts w:ascii="Calibri" w:hAnsi="Calibri" w:cs="Calibri"/>
          <w:bCs/>
          <w:color w:val="auto"/>
          <w:lang w:val="en-US"/>
        </w:rPr>
        <w:lastRenderedPageBreak/>
        <w:t>Transparency</w:t>
      </w:r>
      <w:r w:rsidR="0038225D" w:rsidRPr="0038225D">
        <w:rPr>
          <w:rFonts w:ascii="Calibri" w:hAnsi="Calibri" w:cs="Calibri"/>
          <w:bCs/>
          <w:color w:val="auto"/>
          <w:lang w:val="uk-UA"/>
        </w:rPr>
        <w:t xml:space="preserve"> </w:t>
      </w:r>
      <w:r w:rsidR="0038225D">
        <w:rPr>
          <w:rFonts w:ascii="Calibri" w:hAnsi="Calibri" w:cs="Calibri"/>
          <w:bCs/>
          <w:color w:val="auto"/>
          <w:lang w:val="en-US"/>
        </w:rPr>
        <w:t>International</w:t>
      </w:r>
      <w:r w:rsidR="0038225D" w:rsidRPr="0038225D">
        <w:rPr>
          <w:rFonts w:ascii="Calibri" w:hAnsi="Calibri" w:cs="Calibri"/>
          <w:bCs/>
          <w:color w:val="auto"/>
          <w:lang w:val="uk-UA"/>
        </w:rPr>
        <w:t xml:space="preserve"> </w:t>
      </w:r>
      <w:r w:rsidR="0038225D">
        <w:rPr>
          <w:rFonts w:ascii="Calibri" w:hAnsi="Calibri" w:cs="Calibri"/>
          <w:bCs/>
          <w:color w:val="auto"/>
          <w:lang w:val="uk-UA"/>
        </w:rPr>
        <w:t>Україна висловлює подяку партнерству «За прозорі місцеві бюджети» за допомогу в проведенні дослідження.</w:t>
      </w:r>
    </w:p>
    <w:p w14:paraId="0D2A26B0" w14:textId="251AE40A" w:rsidR="00151874" w:rsidRPr="00787F13" w:rsidRDefault="00151874" w:rsidP="00151874">
      <w:pPr>
        <w:ind w:firstLine="709"/>
        <w:contextualSpacing/>
        <w:jc w:val="both"/>
        <w:rPr>
          <w:rFonts w:ascii="Calibri" w:hAnsi="Calibri" w:cs="Calibri"/>
          <w:bCs/>
          <w:color w:val="auto"/>
          <w:lang w:val="uk-UA"/>
        </w:rPr>
      </w:pPr>
    </w:p>
    <w:p w14:paraId="13AB0CA8" w14:textId="24114547" w:rsidR="00151874" w:rsidRPr="00787F13" w:rsidRDefault="00151874" w:rsidP="00151874">
      <w:pPr>
        <w:ind w:firstLine="709"/>
        <w:contextualSpacing/>
        <w:jc w:val="center"/>
        <w:rPr>
          <w:rFonts w:ascii="Calibri" w:hAnsi="Calibri" w:cs="Calibri"/>
          <w:bCs/>
          <w:color w:val="auto"/>
          <w:lang w:val="uk-UA"/>
        </w:rPr>
      </w:pPr>
      <w:r w:rsidRPr="00787F13">
        <w:rPr>
          <w:rFonts w:ascii="Calibri" w:hAnsi="Calibri" w:cs="Calibri"/>
          <w:bCs/>
          <w:color w:val="auto"/>
          <w:lang w:val="uk-UA"/>
        </w:rPr>
        <w:t>#</w:t>
      </w:r>
    </w:p>
    <w:p w14:paraId="2FF64D97" w14:textId="4DD51EFC" w:rsidR="000B5F97" w:rsidRPr="00787F13" w:rsidRDefault="000B5F97" w:rsidP="00151874">
      <w:pPr>
        <w:spacing w:after="0"/>
        <w:jc w:val="both"/>
        <w:rPr>
          <w:rFonts w:ascii="Calibri" w:eastAsia="Calibri" w:hAnsi="Calibri" w:cs="Calibri"/>
          <w:color w:val="auto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787F13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77777777" w:rsidR="00303DAE" w:rsidRPr="00787F13" w:rsidRDefault="00513000" w:rsidP="00151874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787F13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77777777" w:rsidR="00303DAE" w:rsidRPr="00787F13" w:rsidRDefault="00513000" w:rsidP="00151874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>. 050-352-96-18,</w:t>
            </w:r>
          </w:p>
          <w:p w14:paraId="5051C46D" w14:textId="77777777" w:rsidR="00303DAE" w:rsidRPr="00787F13" w:rsidRDefault="00513000" w:rsidP="00151874">
            <w:pPr>
              <w:ind w:left="414"/>
              <w:jc w:val="both"/>
              <w:rPr>
                <w:lang w:val="uk-UA"/>
              </w:rPr>
            </w:pPr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Pr="00787F13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787F13" w:rsidRDefault="00513000" w:rsidP="00151874">
            <w:pPr>
              <w:ind w:left="414"/>
              <w:jc w:val="both"/>
              <w:rPr>
                <w:lang w:val="uk-UA"/>
              </w:rPr>
            </w:pPr>
            <w:proofErr w:type="spellStart"/>
            <w:r w:rsidRPr="00787F13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787F13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87F13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787F13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787F13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787F13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787F13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9" w:history="1">
              <w:r w:rsidRPr="00787F13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787F13" w:rsidRDefault="00303DAE" w:rsidP="00151874">
      <w:pPr>
        <w:widowControl w:val="0"/>
        <w:spacing w:line="240" w:lineRule="auto"/>
        <w:jc w:val="both"/>
        <w:rPr>
          <w:lang w:val="uk-UA"/>
        </w:rPr>
      </w:pPr>
    </w:p>
    <w:sectPr w:rsidR="00303DAE" w:rsidRPr="00787F13">
      <w:headerReference w:type="default" r:id="rId10"/>
      <w:footerReference w:type="default" r:id="rId11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5C1C7" w14:textId="77777777" w:rsidR="006B2BB1" w:rsidRDefault="006B2BB1">
      <w:pPr>
        <w:spacing w:after="0" w:line="240" w:lineRule="auto"/>
      </w:pPr>
      <w:r>
        <w:separator/>
      </w:r>
    </w:p>
  </w:endnote>
  <w:endnote w:type="continuationSeparator" w:id="0">
    <w:p w14:paraId="15FC313E" w14:textId="77777777" w:rsidR="006B2BB1" w:rsidRDefault="006B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E071" w14:textId="77777777" w:rsidR="00303DAE" w:rsidRDefault="00303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6BC79" w14:textId="77777777" w:rsidR="006B2BB1" w:rsidRDefault="006B2BB1">
      <w:pPr>
        <w:spacing w:after="0" w:line="240" w:lineRule="auto"/>
      </w:pPr>
      <w:r>
        <w:separator/>
      </w:r>
    </w:p>
  </w:footnote>
  <w:footnote w:type="continuationSeparator" w:id="0">
    <w:p w14:paraId="3348AF4D" w14:textId="77777777" w:rsidR="006B2BB1" w:rsidRDefault="006B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B23"/>
    <w:rsid w:val="00012378"/>
    <w:rsid w:val="00036977"/>
    <w:rsid w:val="0004237B"/>
    <w:rsid w:val="0008642B"/>
    <w:rsid w:val="000928EB"/>
    <w:rsid w:val="000A733A"/>
    <w:rsid w:val="000B5F97"/>
    <w:rsid w:val="000B642B"/>
    <w:rsid w:val="000B659C"/>
    <w:rsid w:val="000B72E2"/>
    <w:rsid w:val="000F241A"/>
    <w:rsid w:val="000F5E85"/>
    <w:rsid w:val="00102700"/>
    <w:rsid w:val="0011539D"/>
    <w:rsid w:val="00117F4E"/>
    <w:rsid w:val="00127688"/>
    <w:rsid w:val="001370CA"/>
    <w:rsid w:val="00143504"/>
    <w:rsid w:val="001457EC"/>
    <w:rsid w:val="001511DE"/>
    <w:rsid w:val="00151874"/>
    <w:rsid w:val="00152AB4"/>
    <w:rsid w:val="00154F13"/>
    <w:rsid w:val="001947DA"/>
    <w:rsid w:val="001966FD"/>
    <w:rsid w:val="001B6E4C"/>
    <w:rsid w:val="001C0B30"/>
    <w:rsid w:val="001D082B"/>
    <w:rsid w:val="0022289D"/>
    <w:rsid w:val="00223351"/>
    <w:rsid w:val="002658D3"/>
    <w:rsid w:val="00290AC3"/>
    <w:rsid w:val="0029588E"/>
    <w:rsid w:val="00297D09"/>
    <w:rsid w:val="002A4FD1"/>
    <w:rsid w:val="002B1BAF"/>
    <w:rsid w:val="002C43B7"/>
    <w:rsid w:val="002E0862"/>
    <w:rsid w:val="002E59B2"/>
    <w:rsid w:val="002F6EB9"/>
    <w:rsid w:val="002F7764"/>
    <w:rsid w:val="00303DAE"/>
    <w:rsid w:val="00312157"/>
    <w:rsid w:val="00343A49"/>
    <w:rsid w:val="003502FA"/>
    <w:rsid w:val="00360F2C"/>
    <w:rsid w:val="003643CA"/>
    <w:rsid w:val="0038225D"/>
    <w:rsid w:val="00382271"/>
    <w:rsid w:val="0039208F"/>
    <w:rsid w:val="00397B92"/>
    <w:rsid w:val="003B0AEB"/>
    <w:rsid w:val="003B1B81"/>
    <w:rsid w:val="003B6A29"/>
    <w:rsid w:val="003C1CC2"/>
    <w:rsid w:val="003C6EC1"/>
    <w:rsid w:val="003E2F5F"/>
    <w:rsid w:val="00402C93"/>
    <w:rsid w:val="004320AA"/>
    <w:rsid w:val="00447996"/>
    <w:rsid w:val="0045010F"/>
    <w:rsid w:val="0045676B"/>
    <w:rsid w:val="00460BFA"/>
    <w:rsid w:val="00462DCE"/>
    <w:rsid w:val="00493F03"/>
    <w:rsid w:val="004A1539"/>
    <w:rsid w:val="004B345D"/>
    <w:rsid w:val="004D11E4"/>
    <w:rsid w:val="004D4AE6"/>
    <w:rsid w:val="004E11BC"/>
    <w:rsid w:val="00513000"/>
    <w:rsid w:val="00513FB8"/>
    <w:rsid w:val="00516479"/>
    <w:rsid w:val="005353F8"/>
    <w:rsid w:val="005448C3"/>
    <w:rsid w:val="00546B8D"/>
    <w:rsid w:val="005476FC"/>
    <w:rsid w:val="00550345"/>
    <w:rsid w:val="00552F58"/>
    <w:rsid w:val="00555A39"/>
    <w:rsid w:val="005640FA"/>
    <w:rsid w:val="005651C8"/>
    <w:rsid w:val="00570A78"/>
    <w:rsid w:val="00572516"/>
    <w:rsid w:val="005843A3"/>
    <w:rsid w:val="00584885"/>
    <w:rsid w:val="00587439"/>
    <w:rsid w:val="005A5743"/>
    <w:rsid w:val="005B32D9"/>
    <w:rsid w:val="005C32A6"/>
    <w:rsid w:val="005E58BE"/>
    <w:rsid w:val="005E645C"/>
    <w:rsid w:val="005E648E"/>
    <w:rsid w:val="006069AA"/>
    <w:rsid w:val="00611AB9"/>
    <w:rsid w:val="006208C4"/>
    <w:rsid w:val="006276D5"/>
    <w:rsid w:val="00655089"/>
    <w:rsid w:val="00655C3C"/>
    <w:rsid w:val="00660072"/>
    <w:rsid w:val="00667A02"/>
    <w:rsid w:val="006813D6"/>
    <w:rsid w:val="00691A93"/>
    <w:rsid w:val="006A2D78"/>
    <w:rsid w:val="006B2BB1"/>
    <w:rsid w:val="006E2A19"/>
    <w:rsid w:val="006E4192"/>
    <w:rsid w:val="006F4A47"/>
    <w:rsid w:val="0070151D"/>
    <w:rsid w:val="00734976"/>
    <w:rsid w:val="007373B2"/>
    <w:rsid w:val="00787F13"/>
    <w:rsid w:val="007A14F5"/>
    <w:rsid w:val="007B6929"/>
    <w:rsid w:val="007B7E85"/>
    <w:rsid w:val="007E4C07"/>
    <w:rsid w:val="007E71BB"/>
    <w:rsid w:val="007F4859"/>
    <w:rsid w:val="008161F3"/>
    <w:rsid w:val="0082695E"/>
    <w:rsid w:val="0083006D"/>
    <w:rsid w:val="00831637"/>
    <w:rsid w:val="00850C75"/>
    <w:rsid w:val="00862C57"/>
    <w:rsid w:val="00866548"/>
    <w:rsid w:val="008711DE"/>
    <w:rsid w:val="00884D44"/>
    <w:rsid w:val="008C2A84"/>
    <w:rsid w:val="008C5BED"/>
    <w:rsid w:val="008D3944"/>
    <w:rsid w:val="008F0594"/>
    <w:rsid w:val="008F24B8"/>
    <w:rsid w:val="008F2C44"/>
    <w:rsid w:val="008F6139"/>
    <w:rsid w:val="00904DC4"/>
    <w:rsid w:val="00910BE3"/>
    <w:rsid w:val="00956620"/>
    <w:rsid w:val="009600CC"/>
    <w:rsid w:val="00962516"/>
    <w:rsid w:val="00974B17"/>
    <w:rsid w:val="00995CAA"/>
    <w:rsid w:val="009979D2"/>
    <w:rsid w:val="009C106F"/>
    <w:rsid w:val="009C2BC7"/>
    <w:rsid w:val="009C395D"/>
    <w:rsid w:val="009D0A08"/>
    <w:rsid w:val="00A0160D"/>
    <w:rsid w:val="00A0231A"/>
    <w:rsid w:val="00A2596F"/>
    <w:rsid w:val="00A434B6"/>
    <w:rsid w:val="00A4734E"/>
    <w:rsid w:val="00A503E9"/>
    <w:rsid w:val="00A613EF"/>
    <w:rsid w:val="00A6147C"/>
    <w:rsid w:val="00A63C3A"/>
    <w:rsid w:val="00A6413F"/>
    <w:rsid w:val="00A7158A"/>
    <w:rsid w:val="00AA46C3"/>
    <w:rsid w:val="00AB531E"/>
    <w:rsid w:val="00AD63D7"/>
    <w:rsid w:val="00AD7EE1"/>
    <w:rsid w:val="00AE0241"/>
    <w:rsid w:val="00AF02D0"/>
    <w:rsid w:val="00B01C83"/>
    <w:rsid w:val="00B01CB3"/>
    <w:rsid w:val="00B174B8"/>
    <w:rsid w:val="00B26A60"/>
    <w:rsid w:val="00B515F8"/>
    <w:rsid w:val="00B553F7"/>
    <w:rsid w:val="00B60996"/>
    <w:rsid w:val="00B87D69"/>
    <w:rsid w:val="00BA72F0"/>
    <w:rsid w:val="00BB41A6"/>
    <w:rsid w:val="00BB4DB0"/>
    <w:rsid w:val="00BB6C50"/>
    <w:rsid w:val="00BF7143"/>
    <w:rsid w:val="00C154E7"/>
    <w:rsid w:val="00C232BB"/>
    <w:rsid w:val="00C32FFD"/>
    <w:rsid w:val="00C4371D"/>
    <w:rsid w:val="00C45536"/>
    <w:rsid w:val="00C46CE8"/>
    <w:rsid w:val="00C46EFB"/>
    <w:rsid w:val="00C54AEB"/>
    <w:rsid w:val="00C56A67"/>
    <w:rsid w:val="00C60790"/>
    <w:rsid w:val="00C65BB4"/>
    <w:rsid w:val="00C75F8D"/>
    <w:rsid w:val="00CA66CA"/>
    <w:rsid w:val="00CD0D37"/>
    <w:rsid w:val="00CD2627"/>
    <w:rsid w:val="00CE3CBE"/>
    <w:rsid w:val="00CE7762"/>
    <w:rsid w:val="00D13FE1"/>
    <w:rsid w:val="00D15B33"/>
    <w:rsid w:val="00D2028D"/>
    <w:rsid w:val="00D20FD4"/>
    <w:rsid w:val="00D43125"/>
    <w:rsid w:val="00D43B3C"/>
    <w:rsid w:val="00D54BC5"/>
    <w:rsid w:val="00D70186"/>
    <w:rsid w:val="00D71AAE"/>
    <w:rsid w:val="00D72ED5"/>
    <w:rsid w:val="00D74215"/>
    <w:rsid w:val="00D80A4D"/>
    <w:rsid w:val="00D8219D"/>
    <w:rsid w:val="00D8363E"/>
    <w:rsid w:val="00DB3FB2"/>
    <w:rsid w:val="00DB6948"/>
    <w:rsid w:val="00DC0373"/>
    <w:rsid w:val="00DD0B54"/>
    <w:rsid w:val="00DD2D1B"/>
    <w:rsid w:val="00DD5985"/>
    <w:rsid w:val="00DE620A"/>
    <w:rsid w:val="00DE6C9A"/>
    <w:rsid w:val="00DE6FE1"/>
    <w:rsid w:val="00E14D6E"/>
    <w:rsid w:val="00E15A4C"/>
    <w:rsid w:val="00E231D6"/>
    <w:rsid w:val="00E24302"/>
    <w:rsid w:val="00E369C9"/>
    <w:rsid w:val="00E75ADC"/>
    <w:rsid w:val="00E81AE4"/>
    <w:rsid w:val="00EA6655"/>
    <w:rsid w:val="00EB24E3"/>
    <w:rsid w:val="00EC13B2"/>
    <w:rsid w:val="00EF6CFF"/>
    <w:rsid w:val="00F029B6"/>
    <w:rsid w:val="00F13E60"/>
    <w:rsid w:val="00F152AB"/>
    <w:rsid w:val="00F212C0"/>
    <w:rsid w:val="00F32DEB"/>
    <w:rsid w:val="00F41DB0"/>
    <w:rsid w:val="00F42541"/>
    <w:rsid w:val="00F553EC"/>
    <w:rsid w:val="00F83541"/>
    <w:rsid w:val="00F90493"/>
    <w:rsid w:val="00F90DC4"/>
    <w:rsid w:val="00FA1AE2"/>
    <w:rsid w:val="00FB376A"/>
    <w:rsid w:val="00FB5CCC"/>
    <w:rsid w:val="00FC2C19"/>
    <w:rsid w:val="00FC3E6B"/>
    <w:rsid w:val="00FC4B90"/>
    <w:rsid w:val="00FD0760"/>
    <w:rsid w:val="00FD0815"/>
    <w:rsid w:val="00FD70F7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paragraph" w:customStyle="1" w:styleId="alignnone">
    <w:name w:val="alignnone"/>
    <w:basedOn w:val="a"/>
    <w:rsid w:val="00787F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3ECEC"/>
            <w:right w:val="none" w:sz="0" w:space="0" w:color="auto"/>
          </w:divBdr>
          <w:divsChild>
            <w:div w:id="895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3ECEC"/>
            <w:right w:val="none" w:sz="0" w:space="0" w:color="auto"/>
          </w:divBdr>
          <w:divsChild>
            <w:div w:id="1520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mchenko@ti-ukrain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parentcities.in.ua/city/odes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2643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13</cp:revision>
  <dcterms:created xsi:type="dcterms:W3CDTF">2017-07-21T09:37:00Z</dcterms:created>
  <dcterms:modified xsi:type="dcterms:W3CDTF">2017-07-24T08:08:00Z</dcterms:modified>
</cp:coreProperties>
</file>