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3E88CFBD" w:rsidR="00303DAE" w:rsidRPr="001E5139" w:rsidRDefault="009E0AAC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1E5139">
        <w:rPr>
          <w:rFonts w:ascii="Calibri" w:hAnsi="Calibri"/>
          <w:lang w:val="uk-UA"/>
        </w:rPr>
        <w:t>ПРЕС-РЕЛІЗ</w:t>
      </w:r>
    </w:p>
    <w:p w14:paraId="331176F7" w14:textId="451E23FC" w:rsidR="00EF6CFF" w:rsidRPr="001E5139" w:rsidRDefault="00E45482" w:rsidP="00B017DE">
      <w:pPr>
        <w:spacing w:after="0"/>
        <w:jc w:val="both"/>
        <w:rPr>
          <w:rFonts w:ascii="Calibri" w:hAnsi="Calibri"/>
          <w:lang w:val="uk-UA"/>
        </w:rPr>
      </w:pPr>
      <w:r w:rsidRPr="001E5139">
        <w:rPr>
          <w:rFonts w:ascii="Calibri" w:hAnsi="Calibri"/>
          <w:lang w:val="uk-UA"/>
        </w:rPr>
        <w:t>27</w:t>
      </w:r>
      <w:r w:rsidR="0021656F" w:rsidRPr="001E5139">
        <w:rPr>
          <w:rFonts w:ascii="Calibri" w:hAnsi="Calibri"/>
          <w:lang w:val="uk-UA"/>
        </w:rPr>
        <w:t>.11</w:t>
      </w:r>
      <w:r w:rsidR="007915A1" w:rsidRPr="001E5139">
        <w:rPr>
          <w:rFonts w:ascii="Calibri" w:hAnsi="Calibri"/>
          <w:lang w:val="uk-UA"/>
        </w:rPr>
        <w:t>.</w:t>
      </w:r>
      <w:r w:rsidR="00513000" w:rsidRPr="001E5139">
        <w:rPr>
          <w:rFonts w:ascii="Calibri" w:hAnsi="Calibri"/>
          <w:lang w:val="uk-UA"/>
        </w:rPr>
        <w:t>2017</w:t>
      </w:r>
      <w:r w:rsidR="00FC3C1D" w:rsidRPr="001E5139">
        <w:rPr>
          <w:rFonts w:ascii="Calibri" w:hAnsi="Calibri"/>
          <w:lang w:val="uk-UA"/>
        </w:rPr>
        <w:t xml:space="preserve"> </w:t>
      </w:r>
    </w:p>
    <w:p w14:paraId="38B4DB92" w14:textId="77777777" w:rsidR="00D86346" w:rsidRPr="001E5139" w:rsidRDefault="00D86346" w:rsidP="00B017DE">
      <w:pPr>
        <w:spacing w:after="0"/>
        <w:jc w:val="both"/>
        <w:rPr>
          <w:rFonts w:ascii="Calibri" w:hAnsi="Calibri"/>
          <w:lang w:val="uk-UA"/>
        </w:rPr>
      </w:pPr>
    </w:p>
    <w:p w14:paraId="07286F4E" w14:textId="2C29A5D2" w:rsidR="00A35289" w:rsidRPr="00101D91" w:rsidRDefault="00C3102B" w:rsidP="00C3102B">
      <w:pPr>
        <w:spacing w:after="0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101D91">
        <w:rPr>
          <w:rFonts w:ascii="Calibri" w:eastAsia="Calibri" w:hAnsi="Calibri" w:cs="Calibri"/>
          <w:b/>
          <w:sz w:val="24"/>
          <w:szCs w:val="24"/>
          <w:lang w:val="uk-UA"/>
        </w:rPr>
        <w:t>Суд задовольнив клопотання ТІ Україна у справі про засекречення конфіскації «коштів Януковича»</w:t>
      </w:r>
    </w:p>
    <w:p w14:paraId="5CEA6A08" w14:textId="27F2A9A5" w:rsidR="00A35289" w:rsidRPr="00101D91" w:rsidRDefault="00A35289" w:rsidP="00B017DE">
      <w:pPr>
        <w:spacing w:after="0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14:paraId="26E92297" w14:textId="3111D7AA" w:rsidR="00A35289" w:rsidRPr="00101D91" w:rsidRDefault="00A35289" w:rsidP="00B31CB4">
      <w:pPr>
        <w:ind w:firstLine="709"/>
        <w:contextualSpacing/>
        <w:rPr>
          <w:rFonts w:ascii="Calibri" w:hAnsi="Calibri" w:cs="Calibri"/>
          <w:i/>
          <w:sz w:val="24"/>
          <w:szCs w:val="24"/>
          <w:lang w:val="uk-UA"/>
        </w:rPr>
      </w:pPr>
      <w:r w:rsidRPr="00101D91">
        <w:rPr>
          <w:rFonts w:ascii="Calibri" w:hAnsi="Calibri" w:cs="Calibri"/>
          <w:i/>
          <w:sz w:val="24"/>
          <w:szCs w:val="24"/>
          <w:lang w:val="uk-UA"/>
        </w:rPr>
        <w:t xml:space="preserve">Відбулося перше судове засідання у справі </w:t>
      </w:r>
      <w:r w:rsidR="00C3102B" w:rsidRPr="00101D91">
        <w:rPr>
          <w:rFonts w:ascii="Calibri" w:hAnsi="Calibri" w:cs="Calibri"/>
          <w:i/>
          <w:sz w:val="24"/>
          <w:szCs w:val="24"/>
          <w:lang w:val="uk-UA"/>
        </w:rPr>
        <w:t xml:space="preserve">за позовом ТІ Україна </w:t>
      </w:r>
      <w:r w:rsidR="00C3102B" w:rsidRPr="00101D91">
        <w:rPr>
          <w:rFonts w:ascii="Calibri" w:hAnsi="Calibri" w:cs="Calibri"/>
          <w:i/>
          <w:sz w:val="24"/>
          <w:szCs w:val="24"/>
          <w:lang w:val="uk-UA"/>
        </w:rPr>
        <w:t xml:space="preserve">щодо </w:t>
      </w:r>
      <w:r w:rsidR="00601DC2" w:rsidRPr="00101D91">
        <w:rPr>
          <w:rFonts w:ascii="Calibri" w:hAnsi="Calibri" w:cs="Calibri"/>
          <w:i/>
          <w:sz w:val="24"/>
          <w:szCs w:val="24"/>
          <w:lang w:val="uk-UA"/>
        </w:rPr>
        <w:t>роз</w:t>
      </w:r>
      <w:r w:rsidRPr="00101D91">
        <w:rPr>
          <w:rFonts w:ascii="Calibri" w:hAnsi="Calibri" w:cs="Calibri"/>
          <w:i/>
          <w:sz w:val="24"/>
          <w:szCs w:val="24"/>
          <w:lang w:val="uk-UA"/>
        </w:rPr>
        <w:t xml:space="preserve">секречення </w:t>
      </w:r>
      <w:proofErr w:type="spellStart"/>
      <w:r w:rsidRPr="00101D91">
        <w:rPr>
          <w:rFonts w:ascii="Calibri" w:hAnsi="Calibri" w:cs="Calibri"/>
          <w:i/>
          <w:sz w:val="24"/>
          <w:szCs w:val="24"/>
          <w:lang w:val="uk-UA"/>
        </w:rPr>
        <w:t>вироку</w:t>
      </w:r>
      <w:proofErr w:type="spellEnd"/>
      <w:r w:rsidRPr="00101D91">
        <w:rPr>
          <w:rFonts w:ascii="Calibri" w:hAnsi="Calibri" w:cs="Calibri"/>
          <w:i/>
          <w:sz w:val="24"/>
          <w:szCs w:val="24"/>
          <w:lang w:val="uk-UA"/>
        </w:rPr>
        <w:t xml:space="preserve"> суду про конфіскацію </w:t>
      </w:r>
      <w:r w:rsidR="001E5139" w:rsidRPr="00101D91">
        <w:rPr>
          <w:rFonts w:ascii="Calibri" w:hAnsi="Calibri" w:cs="Calibri"/>
          <w:i/>
          <w:sz w:val="24"/>
          <w:szCs w:val="24"/>
          <w:lang w:val="uk-UA"/>
        </w:rPr>
        <w:t>$</w:t>
      </w:r>
      <w:r w:rsidRPr="00101D91">
        <w:rPr>
          <w:rFonts w:ascii="Calibri" w:hAnsi="Calibri" w:cs="Calibri"/>
          <w:i/>
          <w:sz w:val="24"/>
          <w:szCs w:val="24"/>
          <w:lang w:val="uk-UA"/>
        </w:rPr>
        <w:t>1,5 млрд.</w:t>
      </w:r>
      <w:r w:rsidR="00C3102B" w:rsidRPr="00101D91">
        <w:rPr>
          <w:rFonts w:ascii="Calibri" w:hAnsi="Calibri" w:cs="Calibri"/>
          <w:i/>
          <w:sz w:val="24"/>
          <w:szCs w:val="24"/>
          <w:lang w:val="uk-UA"/>
        </w:rPr>
        <w:t xml:space="preserve"> </w:t>
      </w:r>
    </w:p>
    <w:p w14:paraId="58E0B61F" w14:textId="7C414103" w:rsidR="00A35289" w:rsidRPr="00101D91" w:rsidRDefault="00C3102B" w:rsidP="00B31CB4">
      <w:pPr>
        <w:tabs>
          <w:tab w:val="left" w:pos="0"/>
        </w:tabs>
        <w:ind w:firstLine="709"/>
        <w:contextualSpacing/>
        <w:jc w:val="both"/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</w:pPr>
      <w:r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>27 листопада в</w:t>
      </w:r>
      <w:r w:rsidR="00A35289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Окружному адміністративному суді міста Києва відбулося </w:t>
      </w:r>
      <w:r w:rsidR="00EB33E3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перше </w:t>
      </w:r>
      <w:r w:rsidR="00A35289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судове засідання у справі щодо засекречення </w:t>
      </w:r>
      <w:proofErr w:type="spellStart"/>
      <w:r w:rsidR="00A35289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>вироку</w:t>
      </w:r>
      <w:proofErr w:type="spellEnd"/>
      <w:r w:rsidR="00A35289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</w:t>
      </w:r>
      <w:r w:rsidR="00EB33E3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Краматорського міського суду Донецької області від 28.03.2017 року у судовій справі №234/4135/7 </w:t>
      </w:r>
      <w:r w:rsidR="00EB33E3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(</w:t>
      </w:r>
      <w:r w:rsidR="00601DC2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надалі – </w:t>
      </w:r>
      <w:proofErr w:type="spellStart"/>
      <w:r w:rsidR="00EB33E3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>Вироку</w:t>
      </w:r>
      <w:proofErr w:type="spellEnd"/>
      <w:r w:rsidR="00EB33E3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>)</w:t>
      </w:r>
      <w:r w:rsidR="00601DC2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>,</w:t>
      </w:r>
      <w:r w:rsidR="00EB33E3"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</w:t>
      </w:r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за позовом </w:t>
      </w:r>
      <w:proofErr w:type="spellStart"/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Transparency</w:t>
      </w:r>
      <w:proofErr w:type="spellEnd"/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International</w:t>
      </w:r>
      <w:proofErr w:type="spellEnd"/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Україна проти Генеральної прокуратури України, Військової прокуратури сил АТО та ДП «Інформаційні судові системи»</w:t>
      </w:r>
      <w:r w:rsidR="00601DC2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. ТІ Україна просить суд</w:t>
      </w:r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</w:t>
      </w:r>
      <w:r w:rsidR="00601DC2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визнати</w:t>
      </w:r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незаконни</w:t>
      </w:r>
      <w:r w:rsidR="00601DC2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ми</w:t>
      </w:r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рішен</w:t>
      </w:r>
      <w:r w:rsidR="00601DC2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ня</w:t>
      </w:r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по засекреченню судового </w:t>
      </w:r>
      <w:proofErr w:type="spellStart"/>
      <w:r w:rsidR="00601DC2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В</w:t>
      </w:r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ироку</w:t>
      </w:r>
      <w:proofErr w:type="spellEnd"/>
      <w:r w:rsidR="00A35289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, за яким було конфісковано 1,5 млрд доларів коштів «злочинної організації Януковича».</w:t>
      </w:r>
    </w:p>
    <w:p w14:paraId="3FB7B71A" w14:textId="45FA77C1" w:rsidR="00A35289" w:rsidRPr="00101D91" w:rsidRDefault="00A35289" w:rsidP="00B31CB4">
      <w:pPr>
        <w:tabs>
          <w:tab w:val="left" w:pos="0"/>
        </w:tabs>
        <w:ind w:firstLine="709"/>
        <w:contextualSpacing/>
        <w:jc w:val="both"/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</w:pPr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Суд задовольнив клопотання ТІ Україна про витребування у ГПУ рішень, якими був засекречений </w:t>
      </w:r>
      <w:r w:rsidR="00EB33E3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В</w:t>
      </w:r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ирок, а саме:</w:t>
      </w:r>
    </w:p>
    <w:p w14:paraId="05F8333F" w14:textId="278EE379" w:rsidR="00A35289" w:rsidRPr="00101D91" w:rsidRDefault="00A35289" w:rsidP="00B31CB4">
      <w:pPr>
        <w:tabs>
          <w:tab w:val="left" w:pos="0"/>
        </w:tabs>
        <w:ind w:firstLine="709"/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lang w:val="uk-UA"/>
        </w:rPr>
      </w:pPr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- 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постанови Військової прокуратури сил </w:t>
      </w:r>
      <w:r w:rsidR="00EB33E3" w:rsidRPr="00101D91">
        <w:rPr>
          <w:rFonts w:ascii="Calibri" w:hAnsi="Calibri" w:cs="Calibri"/>
          <w:sz w:val="24"/>
          <w:szCs w:val="24"/>
          <w:lang w:val="uk-UA"/>
        </w:rPr>
        <w:t>АТО від 21 березня 2017, якою ДП «Інформаційні судові системи»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EB33E3" w:rsidRPr="00101D91">
        <w:rPr>
          <w:rFonts w:ascii="Calibri" w:hAnsi="Calibri" w:cs="Calibri"/>
          <w:sz w:val="24"/>
          <w:szCs w:val="24"/>
          <w:lang w:val="uk-UA"/>
        </w:rPr>
        <w:t xml:space="preserve">було зобов’язано 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не </w:t>
      </w:r>
      <w:r w:rsidR="00EB33E3" w:rsidRPr="00101D91">
        <w:rPr>
          <w:rFonts w:ascii="Calibri" w:hAnsi="Calibri" w:cs="Calibri"/>
          <w:sz w:val="24"/>
          <w:szCs w:val="24"/>
          <w:lang w:val="uk-UA"/>
        </w:rPr>
        <w:t>оприлюднювати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 текст</w:t>
      </w:r>
      <w:r w:rsidR="00EB33E3" w:rsidRPr="00101D91">
        <w:rPr>
          <w:rFonts w:ascii="Calibri" w:hAnsi="Calibri" w:cs="Calibri"/>
          <w:sz w:val="24"/>
          <w:szCs w:val="24"/>
          <w:lang w:val="uk-UA"/>
        </w:rPr>
        <w:t xml:space="preserve"> </w:t>
      </w:r>
      <w:proofErr w:type="spellStart"/>
      <w:r w:rsidR="00EB33E3" w:rsidRPr="00101D91">
        <w:rPr>
          <w:rFonts w:ascii="Calibri" w:hAnsi="Calibri" w:cs="Calibri"/>
          <w:sz w:val="24"/>
          <w:szCs w:val="24"/>
          <w:lang w:val="uk-UA"/>
        </w:rPr>
        <w:t>Вироку</w:t>
      </w:r>
      <w:proofErr w:type="spellEnd"/>
      <w:r w:rsidR="00EB33E3" w:rsidRPr="00101D91">
        <w:rPr>
          <w:rFonts w:ascii="Calibri" w:hAnsi="Calibri" w:cs="Calibri"/>
          <w:sz w:val="24"/>
          <w:szCs w:val="24"/>
          <w:lang w:val="uk-UA"/>
        </w:rPr>
        <w:t>;</w:t>
      </w:r>
    </w:p>
    <w:p w14:paraId="1DD2A05A" w14:textId="7E8A17F3" w:rsidR="00A35289" w:rsidRPr="00101D91" w:rsidRDefault="00A35289" w:rsidP="00B31CB4">
      <w:pPr>
        <w:tabs>
          <w:tab w:val="left" w:pos="0"/>
        </w:tabs>
        <w:ind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- 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висновку держаного експерта </w:t>
      </w:r>
      <w:r w:rsidR="00EB33E3" w:rsidRPr="00101D91">
        <w:rPr>
          <w:rFonts w:ascii="Calibri" w:hAnsi="Calibri" w:cs="Calibri"/>
          <w:sz w:val="24"/>
          <w:szCs w:val="24"/>
          <w:lang w:val="uk-UA"/>
        </w:rPr>
        <w:t>з питань таємниць ГПУ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 про наявність </w:t>
      </w:r>
      <w:r w:rsidR="00EB33E3" w:rsidRPr="00101D91">
        <w:rPr>
          <w:rFonts w:ascii="Calibri" w:hAnsi="Calibri" w:cs="Calibri"/>
          <w:sz w:val="24"/>
          <w:szCs w:val="24"/>
          <w:lang w:val="uk-UA"/>
        </w:rPr>
        <w:t xml:space="preserve">у </w:t>
      </w:r>
      <w:proofErr w:type="spellStart"/>
      <w:r w:rsidR="00EB33E3" w:rsidRPr="00101D91">
        <w:rPr>
          <w:rFonts w:ascii="Calibri" w:hAnsi="Calibri" w:cs="Calibri"/>
          <w:sz w:val="24"/>
          <w:szCs w:val="24"/>
          <w:lang w:val="uk-UA"/>
        </w:rPr>
        <w:t>Вироку</w:t>
      </w:r>
      <w:proofErr w:type="spellEnd"/>
      <w:r w:rsidRPr="00101D91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</w:t>
      </w:r>
      <w:r w:rsidRPr="00101D91">
        <w:rPr>
          <w:rFonts w:ascii="Calibri" w:hAnsi="Calibri" w:cs="Calibri"/>
          <w:sz w:val="24"/>
          <w:szCs w:val="24"/>
          <w:lang w:val="uk-UA"/>
        </w:rPr>
        <w:t>відомостей, що становлять державну таємницю</w:t>
      </w:r>
      <w:r w:rsidR="00EB33E3" w:rsidRPr="00101D91">
        <w:rPr>
          <w:rFonts w:ascii="Calibri" w:hAnsi="Calibri" w:cs="Calibri"/>
          <w:sz w:val="24"/>
          <w:szCs w:val="24"/>
          <w:lang w:val="uk-UA"/>
        </w:rPr>
        <w:t xml:space="preserve"> у сфері державної безпеки і охорони правопорядку.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 </w:t>
      </w:r>
    </w:p>
    <w:p w14:paraId="12C5B3E0" w14:textId="702F587F" w:rsidR="00601DC2" w:rsidRPr="00101D91" w:rsidRDefault="00601DC2" w:rsidP="00B31CB4">
      <w:pPr>
        <w:tabs>
          <w:tab w:val="left" w:pos="0"/>
        </w:tabs>
        <w:ind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  <w:r w:rsidRPr="00101D91">
        <w:rPr>
          <w:rFonts w:ascii="Calibri" w:hAnsi="Calibri" w:cs="Calibri"/>
          <w:i/>
          <w:sz w:val="24"/>
          <w:szCs w:val="24"/>
          <w:lang w:val="uk-UA"/>
        </w:rPr>
        <w:t xml:space="preserve">«Задоволення нашого клопотання є першим кроком на шляху до оприлюднення судового </w:t>
      </w:r>
      <w:proofErr w:type="spellStart"/>
      <w:r w:rsidRPr="00101D91">
        <w:rPr>
          <w:rFonts w:ascii="Calibri" w:hAnsi="Calibri" w:cs="Calibri"/>
          <w:i/>
          <w:sz w:val="24"/>
          <w:szCs w:val="24"/>
          <w:lang w:val="uk-UA"/>
        </w:rPr>
        <w:t>вироку</w:t>
      </w:r>
      <w:proofErr w:type="spellEnd"/>
      <w:r w:rsidRPr="00101D91">
        <w:rPr>
          <w:rFonts w:ascii="Calibri" w:hAnsi="Calibri" w:cs="Calibri"/>
          <w:i/>
          <w:sz w:val="24"/>
          <w:szCs w:val="24"/>
          <w:lang w:val="uk-UA"/>
        </w:rPr>
        <w:t xml:space="preserve"> у справі «грошей Януковича». Це важливо, адже публічність цього </w:t>
      </w:r>
      <w:proofErr w:type="spellStart"/>
      <w:r w:rsidRPr="00101D91">
        <w:rPr>
          <w:rFonts w:ascii="Calibri" w:hAnsi="Calibri" w:cs="Calibri"/>
          <w:i/>
          <w:sz w:val="24"/>
          <w:szCs w:val="24"/>
          <w:lang w:val="uk-UA"/>
        </w:rPr>
        <w:t>вироку</w:t>
      </w:r>
      <w:proofErr w:type="spellEnd"/>
      <w:r w:rsidRPr="00101D91">
        <w:rPr>
          <w:rFonts w:ascii="Calibri" w:hAnsi="Calibri" w:cs="Calibri"/>
          <w:i/>
          <w:sz w:val="24"/>
          <w:szCs w:val="24"/>
          <w:lang w:val="uk-UA"/>
        </w:rPr>
        <w:t xml:space="preserve"> дозволить пересвідчитися в тому, що не було порушень під час конфіскації коштів та унеможливить оскарження даного </w:t>
      </w:r>
      <w:proofErr w:type="spellStart"/>
      <w:r w:rsidRPr="00101D91">
        <w:rPr>
          <w:rFonts w:ascii="Calibri" w:hAnsi="Calibri" w:cs="Calibri"/>
          <w:i/>
          <w:sz w:val="24"/>
          <w:szCs w:val="24"/>
          <w:lang w:val="uk-UA"/>
        </w:rPr>
        <w:t>вироку</w:t>
      </w:r>
      <w:proofErr w:type="spellEnd"/>
      <w:r w:rsidRPr="00101D91">
        <w:rPr>
          <w:rFonts w:ascii="Calibri" w:hAnsi="Calibri" w:cs="Calibri"/>
          <w:i/>
          <w:sz w:val="24"/>
          <w:szCs w:val="24"/>
          <w:lang w:val="uk-UA"/>
        </w:rPr>
        <w:t xml:space="preserve"> у міжнародних судах</w:t>
      </w:r>
      <w:r w:rsidRPr="00101D91">
        <w:rPr>
          <w:rFonts w:ascii="Calibri" w:hAnsi="Calibri" w:cs="Calibri"/>
          <w:sz w:val="24"/>
          <w:szCs w:val="24"/>
          <w:lang w:val="uk-UA"/>
        </w:rPr>
        <w:t xml:space="preserve">», - підкреслив </w:t>
      </w:r>
      <w:r w:rsidRPr="00101D91">
        <w:rPr>
          <w:rFonts w:ascii="Calibri" w:hAnsi="Calibri" w:cs="Calibri"/>
          <w:b/>
          <w:sz w:val="24"/>
          <w:szCs w:val="24"/>
          <w:lang w:val="uk-UA"/>
        </w:rPr>
        <w:t>Максим Костецький</w:t>
      </w:r>
      <w:r w:rsidR="00B31CB4" w:rsidRPr="00101D91">
        <w:rPr>
          <w:rFonts w:ascii="Calibri" w:hAnsi="Calibri" w:cs="Calibri"/>
          <w:b/>
          <w:sz w:val="24"/>
          <w:szCs w:val="24"/>
          <w:lang w:val="uk-UA"/>
        </w:rPr>
        <w:t xml:space="preserve">, </w:t>
      </w:r>
      <w:r w:rsidR="00B31CB4" w:rsidRPr="00101D91">
        <w:rPr>
          <w:rFonts w:ascii="Calibri" w:hAnsi="Calibri" w:cs="Calibri"/>
          <w:sz w:val="24"/>
          <w:szCs w:val="24"/>
          <w:lang w:val="uk-UA"/>
        </w:rPr>
        <w:t xml:space="preserve">юрист ТІ Україна. </w:t>
      </w:r>
    </w:p>
    <w:p w14:paraId="345E5378" w14:textId="149B8AEF" w:rsidR="00A35289" w:rsidRPr="00101D91" w:rsidRDefault="00A35289" w:rsidP="00B31CB4">
      <w:pPr>
        <w:tabs>
          <w:tab w:val="left" w:pos="0"/>
        </w:tabs>
        <w:ind w:firstLine="709"/>
        <w:contextualSpacing/>
        <w:jc w:val="both"/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</w:pPr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Тепер Генеральна прокуратура зобов’язана долучити до матеріалів справи рішення, якими було </w:t>
      </w:r>
      <w:proofErr w:type="spellStart"/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засекречено</w:t>
      </w:r>
      <w:proofErr w:type="spellEnd"/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</w:t>
      </w:r>
      <w:r w:rsidR="00EB33E3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Вирок</w:t>
      </w:r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, та які оскаржує ТІ Україна.</w:t>
      </w:r>
    </w:p>
    <w:p w14:paraId="19793A26" w14:textId="77777777" w:rsidR="00101D91" w:rsidRDefault="00A35289" w:rsidP="00101D91">
      <w:pPr>
        <w:tabs>
          <w:tab w:val="left" w:pos="0"/>
        </w:tabs>
        <w:ind w:firstLine="709"/>
        <w:contextualSpacing/>
        <w:jc w:val="both"/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</w:pPr>
      <w:r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>У зв’язку з витребуванням доказів від ГПУ, розгляд справи відкладено. Наступне судове засідання відбудеться 19.12.2017 о 14:30.</w:t>
      </w:r>
      <w:r w:rsidR="00EB33E3" w:rsidRPr="00101D91">
        <w:rPr>
          <w:rFonts w:ascii="Calibri" w:hAnsi="Calibri" w:cs="Calibri"/>
          <w:iCs/>
          <w:color w:val="000000" w:themeColor="text1"/>
          <w:sz w:val="24"/>
          <w:szCs w:val="24"/>
          <w:lang w:val="uk-UA"/>
        </w:rPr>
        <w:t xml:space="preserve"> Запрошуємо журналістів на наступне судове засідання.</w:t>
      </w:r>
    </w:p>
    <w:p w14:paraId="53D071D3" w14:textId="72DBAA48" w:rsidR="00B31CB4" w:rsidRDefault="00B31CB4" w:rsidP="00101D91">
      <w:pPr>
        <w:tabs>
          <w:tab w:val="left" w:pos="0"/>
        </w:tabs>
        <w:ind w:firstLine="709"/>
        <w:contextualSpacing/>
        <w:jc w:val="center"/>
        <w:rPr>
          <w:rFonts w:asciiTheme="minorHAnsi" w:eastAsia="Calibri" w:hAnsiTheme="minorHAnsi" w:cstheme="minorHAnsi"/>
          <w:color w:val="auto"/>
          <w:lang w:val="uk-UA"/>
        </w:rPr>
      </w:pPr>
      <w:r w:rsidRPr="001E5139">
        <w:rPr>
          <w:rFonts w:asciiTheme="minorHAnsi" w:eastAsia="Calibri" w:hAnsiTheme="minorHAnsi" w:cstheme="minorHAnsi"/>
          <w:color w:val="auto"/>
          <w:lang w:val="uk-UA"/>
        </w:rPr>
        <w:t>#</w:t>
      </w:r>
    </w:p>
    <w:p w14:paraId="70207BCC" w14:textId="77777777" w:rsidR="00101D91" w:rsidRPr="001E5139" w:rsidRDefault="00101D91" w:rsidP="00101D91">
      <w:pPr>
        <w:tabs>
          <w:tab w:val="left" w:pos="0"/>
        </w:tabs>
        <w:ind w:firstLine="709"/>
        <w:contextualSpacing/>
        <w:jc w:val="center"/>
        <w:rPr>
          <w:rFonts w:asciiTheme="minorHAnsi" w:hAnsiTheme="minorHAnsi" w:cstheme="minorHAnsi"/>
          <w:iCs/>
          <w:lang w:val="uk-UA"/>
        </w:rPr>
      </w:pPr>
      <w:bookmarkStart w:id="0" w:name="_GoBack"/>
      <w:bookmarkEnd w:id="0"/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B31CB4" w:rsidRPr="001E5139" w14:paraId="345925E4" w14:textId="77777777" w:rsidTr="008E73D9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7EAB8E1B" w14:textId="77777777" w:rsidR="00B31CB4" w:rsidRPr="00101D91" w:rsidRDefault="00B31CB4" w:rsidP="008E73D9">
            <w:pPr>
              <w:ind w:left="414"/>
              <w:jc w:val="both"/>
              <w:rPr>
                <w:rFonts w:ascii="Calibri" w:hAnsi="Calibri"/>
                <w:sz w:val="18"/>
                <w:szCs w:val="18"/>
                <w:lang w:val="uk-UA"/>
              </w:rPr>
            </w:pPr>
            <w:r w:rsidRPr="00101D91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16779593" w14:textId="77777777" w:rsidR="00B31CB4" w:rsidRPr="00101D91" w:rsidRDefault="00B31CB4" w:rsidP="008E73D9">
            <w:pPr>
              <w:ind w:left="414"/>
              <w:jc w:val="both"/>
              <w:rPr>
                <w:rFonts w:ascii="Calibri" w:hAnsi="Calibri"/>
                <w:sz w:val="18"/>
                <w:szCs w:val="18"/>
                <w:lang w:val="uk-UA"/>
              </w:rPr>
            </w:pPr>
            <w:proofErr w:type="spellStart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04B1F44F" w14:textId="77777777" w:rsidR="00B31CB4" w:rsidRPr="00101D91" w:rsidRDefault="00B31CB4" w:rsidP="008E73D9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7" w:history="1">
              <w:r w:rsidRPr="00101D91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39F62E40" w14:textId="77777777" w:rsidR="00B31CB4" w:rsidRPr="00101D91" w:rsidRDefault="00B31CB4" w:rsidP="008E73D9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101D91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101D91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01D91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101D91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</w:t>
            </w:r>
            <w:proofErr w:type="spellStart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101D91">
              <w:rPr>
                <w:rFonts w:ascii="Calibri" w:hAnsi="Calibr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8" w:history="1">
              <w:r w:rsidRPr="00101D91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36002E9C" w14:textId="77777777" w:rsidR="00A35289" w:rsidRPr="001E5139" w:rsidRDefault="00A35289" w:rsidP="00B31CB4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A35289" w:rsidRPr="001E5139">
      <w:headerReference w:type="default" r:id="rId9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FC2D" w14:textId="77777777" w:rsidR="005E235D" w:rsidRDefault="005E235D">
      <w:pPr>
        <w:spacing w:after="0" w:line="240" w:lineRule="auto"/>
      </w:pPr>
      <w:r>
        <w:separator/>
      </w:r>
    </w:p>
  </w:endnote>
  <w:endnote w:type="continuationSeparator" w:id="0">
    <w:p w14:paraId="3CCC5F97" w14:textId="77777777" w:rsidR="005E235D" w:rsidRDefault="005E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FA0D" w14:textId="77777777" w:rsidR="005E235D" w:rsidRDefault="005E235D">
      <w:pPr>
        <w:spacing w:after="0" w:line="240" w:lineRule="auto"/>
      </w:pPr>
      <w:r>
        <w:separator/>
      </w:r>
    </w:p>
  </w:footnote>
  <w:footnote w:type="continuationSeparator" w:id="0">
    <w:p w14:paraId="17F8486C" w14:textId="77777777" w:rsidR="005E235D" w:rsidRDefault="005E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eastAsia="ru-RU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17050"/>
    <w:rsid w:val="00027C86"/>
    <w:rsid w:val="00035206"/>
    <w:rsid w:val="0004237B"/>
    <w:rsid w:val="00065B2C"/>
    <w:rsid w:val="00075CFA"/>
    <w:rsid w:val="00092179"/>
    <w:rsid w:val="000A733A"/>
    <w:rsid w:val="000B5F97"/>
    <w:rsid w:val="000B642B"/>
    <w:rsid w:val="000D174B"/>
    <w:rsid w:val="000F5E85"/>
    <w:rsid w:val="00101D91"/>
    <w:rsid w:val="00102700"/>
    <w:rsid w:val="00120631"/>
    <w:rsid w:val="00123BEC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B6E4C"/>
    <w:rsid w:val="001C0B30"/>
    <w:rsid w:val="001E5139"/>
    <w:rsid w:val="001E74DC"/>
    <w:rsid w:val="00200603"/>
    <w:rsid w:val="002006F6"/>
    <w:rsid w:val="002116C7"/>
    <w:rsid w:val="0021656F"/>
    <w:rsid w:val="00242FBB"/>
    <w:rsid w:val="002658D3"/>
    <w:rsid w:val="00271271"/>
    <w:rsid w:val="0027526B"/>
    <w:rsid w:val="00297D09"/>
    <w:rsid w:val="002A5A41"/>
    <w:rsid w:val="002B1BAF"/>
    <w:rsid w:val="002F7764"/>
    <w:rsid w:val="00303DAE"/>
    <w:rsid w:val="00312157"/>
    <w:rsid w:val="003122FE"/>
    <w:rsid w:val="00317C0F"/>
    <w:rsid w:val="00337DB7"/>
    <w:rsid w:val="00343A49"/>
    <w:rsid w:val="003502FA"/>
    <w:rsid w:val="00360F2C"/>
    <w:rsid w:val="00382271"/>
    <w:rsid w:val="00383C35"/>
    <w:rsid w:val="0039208F"/>
    <w:rsid w:val="00397B92"/>
    <w:rsid w:val="003B0AEB"/>
    <w:rsid w:val="003B1B81"/>
    <w:rsid w:val="003C00C2"/>
    <w:rsid w:val="003C1CC2"/>
    <w:rsid w:val="003C6EC1"/>
    <w:rsid w:val="003F76DB"/>
    <w:rsid w:val="00402C93"/>
    <w:rsid w:val="0045010F"/>
    <w:rsid w:val="00490DE1"/>
    <w:rsid w:val="00495D81"/>
    <w:rsid w:val="00495FBC"/>
    <w:rsid w:val="004A1539"/>
    <w:rsid w:val="004A4D7B"/>
    <w:rsid w:val="004C42C9"/>
    <w:rsid w:val="004D11E4"/>
    <w:rsid w:val="004E11BC"/>
    <w:rsid w:val="00513000"/>
    <w:rsid w:val="00513FB8"/>
    <w:rsid w:val="0051575D"/>
    <w:rsid w:val="00516479"/>
    <w:rsid w:val="00517A86"/>
    <w:rsid w:val="0052672F"/>
    <w:rsid w:val="005353F8"/>
    <w:rsid w:val="005448C3"/>
    <w:rsid w:val="00555A39"/>
    <w:rsid w:val="005651C8"/>
    <w:rsid w:val="005712B2"/>
    <w:rsid w:val="00572516"/>
    <w:rsid w:val="00584885"/>
    <w:rsid w:val="005952EC"/>
    <w:rsid w:val="005A011F"/>
    <w:rsid w:val="005A0A9F"/>
    <w:rsid w:val="005B32D9"/>
    <w:rsid w:val="005B5AD9"/>
    <w:rsid w:val="005C32A6"/>
    <w:rsid w:val="005E235D"/>
    <w:rsid w:val="005E58BE"/>
    <w:rsid w:val="005E5ACC"/>
    <w:rsid w:val="005E648E"/>
    <w:rsid w:val="00601DC2"/>
    <w:rsid w:val="006069AA"/>
    <w:rsid w:val="00611AB9"/>
    <w:rsid w:val="006208C4"/>
    <w:rsid w:val="006276D5"/>
    <w:rsid w:val="00655089"/>
    <w:rsid w:val="00660072"/>
    <w:rsid w:val="00667A02"/>
    <w:rsid w:val="006825BF"/>
    <w:rsid w:val="00695FC8"/>
    <w:rsid w:val="006B0AF5"/>
    <w:rsid w:val="006C2524"/>
    <w:rsid w:val="006C7010"/>
    <w:rsid w:val="006C7636"/>
    <w:rsid w:val="006E2A19"/>
    <w:rsid w:val="006E4192"/>
    <w:rsid w:val="006F636A"/>
    <w:rsid w:val="0070151D"/>
    <w:rsid w:val="00704986"/>
    <w:rsid w:val="0071242E"/>
    <w:rsid w:val="00716DAB"/>
    <w:rsid w:val="007373B2"/>
    <w:rsid w:val="00752EAD"/>
    <w:rsid w:val="00763B29"/>
    <w:rsid w:val="007655C7"/>
    <w:rsid w:val="00767611"/>
    <w:rsid w:val="007915A1"/>
    <w:rsid w:val="007B6929"/>
    <w:rsid w:val="007B7E85"/>
    <w:rsid w:val="007E4C07"/>
    <w:rsid w:val="007E71BB"/>
    <w:rsid w:val="007F18D8"/>
    <w:rsid w:val="007F4859"/>
    <w:rsid w:val="007F6A25"/>
    <w:rsid w:val="00811850"/>
    <w:rsid w:val="008177A5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44DF6"/>
    <w:rsid w:val="00953D6E"/>
    <w:rsid w:val="00957E65"/>
    <w:rsid w:val="00962516"/>
    <w:rsid w:val="00974B17"/>
    <w:rsid w:val="009C395D"/>
    <w:rsid w:val="009C6AF0"/>
    <w:rsid w:val="009D0A08"/>
    <w:rsid w:val="009E0AAC"/>
    <w:rsid w:val="009E7264"/>
    <w:rsid w:val="00A0231A"/>
    <w:rsid w:val="00A2596F"/>
    <w:rsid w:val="00A35289"/>
    <w:rsid w:val="00A42CAD"/>
    <w:rsid w:val="00A434B6"/>
    <w:rsid w:val="00A4734E"/>
    <w:rsid w:val="00A503E9"/>
    <w:rsid w:val="00A609A1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02B34"/>
    <w:rsid w:val="00B11399"/>
    <w:rsid w:val="00B174B8"/>
    <w:rsid w:val="00B21887"/>
    <w:rsid w:val="00B31CB4"/>
    <w:rsid w:val="00B515F8"/>
    <w:rsid w:val="00B553F7"/>
    <w:rsid w:val="00B60996"/>
    <w:rsid w:val="00B64B79"/>
    <w:rsid w:val="00BB41A6"/>
    <w:rsid w:val="00BB6C50"/>
    <w:rsid w:val="00BD613D"/>
    <w:rsid w:val="00BE0D81"/>
    <w:rsid w:val="00BF018A"/>
    <w:rsid w:val="00BF7143"/>
    <w:rsid w:val="00C0304A"/>
    <w:rsid w:val="00C11E11"/>
    <w:rsid w:val="00C154E7"/>
    <w:rsid w:val="00C16E2C"/>
    <w:rsid w:val="00C232BB"/>
    <w:rsid w:val="00C3102B"/>
    <w:rsid w:val="00C32FFD"/>
    <w:rsid w:val="00C45536"/>
    <w:rsid w:val="00C46CE8"/>
    <w:rsid w:val="00C46EFB"/>
    <w:rsid w:val="00C53AD0"/>
    <w:rsid w:val="00C60790"/>
    <w:rsid w:val="00C65BB4"/>
    <w:rsid w:val="00C70A68"/>
    <w:rsid w:val="00C70C2C"/>
    <w:rsid w:val="00C7322C"/>
    <w:rsid w:val="00C75F8D"/>
    <w:rsid w:val="00C80F5F"/>
    <w:rsid w:val="00C8780E"/>
    <w:rsid w:val="00CA6C2D"/>
    <w:rsid w:val="00CD0D37"/>
    <w:rsid w:val="00CE7762"/>
    <w:rsid w:val="00D01EE8"/>
    <w:rsid w:val="00D11AFB"/>
    <w:rsid w:val="00D15B33"/>
    <w:rsid w:val="00D2028D"/>
    <w:rsid w:val="00D34210"/>
    <w:rsid w:val="00D37157"/>
    <w:rsid w:val="00D43125"/>
    <w:rsid w:val="00D54BC5"/>
    <w:rsid w:val="00D70186"/>
    <w:rsid w:val="00D71AAE"/>
    <w:rsid w:val="00D74215"/>
    <w:rsid w:val="00D8219D"/>
    <w:rsid w:val="00D8363E"/>
    <w:rsid w:val="00D86346"/>
    <w:rsid w:val="00DB3FB2"/>
    <w:rsid w:val="00DC0373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45482"/>
    <w:rsid w:val="00E77DDA"/>
    <w:rsid w:val="00E81AE4"/>
    <w:rsid w:val="00E86C17"/>
    <w:rsid w:val="00E876D4"/>
    <w:rsid w:val="00EA2936"/>
    <w:rsid w:val="00EB24E3"/>
    <w:rsid w:val="00EB33E3"/>
    <w:rsid w:val="00ED1F68"/>
    <w:rsid w:val="00EF6CFF"/>
    <w:rsid w:val="00F029B6"/>
    <w:rsid w:val="00F13E60"/>
    <w:rsid w:val="00F42541"/>
    <w:rsid w:val="00F553EC"/>
    <w:rsid w:val="00F579E2"/>
    <w:rsid w:val="00F65636"/>
    <w:rsid w:val="00F76AFB"/>
    <w:rsid w:val="00F83541"/>
    <w:rsid w:val="00F90493"/>
    <w:rsid w:val="00F905EF"/>
    <w:rsid w:val="00F90DC4"/>
    <w:rsid w:val="00F957CF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10">
    <w:name w:val="Заголовок 1 Знак"/>
    <w:basedOn w:val="a0"/>
    <w:link w:val="1"/>
    <w:uiPriority w:val="9"/>
    <w:rsid w:val="00D01EE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965">
          <w:blockQuote w:val="1"/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mchenko@ti-ukra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Olga Tymchenko</cp:lastModifiedBy>
  <cp:revision>5</cp:revision>
  <dcterms:created xsi:type="dcterms:W3CDTF">2017-11-27T11:52:00Z</dcterms:created>
  <dcterms:modified xsi:type="dcterms:W3CDTF">2017-11-27T11:55:00Z</dcterms:modified>
</cp:coreProperties>
</file>