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jc w:val="center"/>
        <w:rPr>
          <w:rFonts w:ascii="Tahoma" w:cs="Tahoma" w:eastAsia="Tahoma" w:hAnsi="Tahoma"/>
          <w:b w:val="0"/>
          <w:color w:val="0f0fb9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color w:val="0f0fb9"/>
          <w:vertAlign w:val="baseline"/>
          <w:rtl w:val="0"/>
        </w:rPr>
        <w:t xml:space="preserve">[Бланк організації учасника процедури закупівлі]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ahoma" w:cs="Tahoma" w:eastAsia="Tahoma" w:hAnsi="Tahoma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387"/>
        <w:gridCol w:w="4678"/>
        <w:tblGridChange w:id="0">
          <w:tblGrid>
            <w:gridCol w:w="5387"/>
            <w:gridCol w:w="4678"/>
          </w:tblGrid>
        </w:tblGridChange>
      </w:tblGrid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Заповнюється співробітником TI Україна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Дата надходження тендерної пропозиції до TI Україна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Реєстраційний номер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cccccc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«______» ________________ 2017 р.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№ 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cccccc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ПІБ____________________________________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підпис________________________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0"/>
          <w:smallCaps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ahoma" w:cs="Tahoma" w:eastAsia="Tahoma" w:hAnsi="Tahoma"/>
          <w:b w:val="0"/>
          <w:smallCaps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ahoma" w:cs="Tahoma" w:eastAsia="Tahoma" w:hAnsi="Tahoma"/>
          <w:b w:val="0"/>
          <w:smallCaps w:val="0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21"/>
          <w:szCs w:val="21"/>
          <w:vertAlign w:val="baseline"/>
          <w:rtl w:val="0"/>
        </w:rPr>
        <w:t xml:space="preserve">ТЕНДЕРНА ПРОПОЗИЦІЯ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ahoma" w:cs="Tahoma" w:eastAsia="Tahoma" w:hAnsi="Tahoma"/>
          <w:b w:val="0"/>
          <w:smallCaps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ahoma" w:cs="Tahoma" w:eastAsia="Tahoma" w:hAnsi="Tahoma"/>
          <w:b w:val="0"/>
          <w:smallCaps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40"/>
        </w:tabs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Ознайомившись із оголошенням про проведення процедури конкурсних торгів на закупівлю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закупівлю послуг з створення інтерфейсу Реєстру Активів (далі - РА) для взаємодії з Базою Даних Реєстру Активів (далі - БД) та з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ЦБД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Електронної Торгової Системи щодо організації та проведення відкритих торгів (аукціонів) з продажу активів (майна) банків, що виводяться з ринку та банків, що ліквідуються 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ми, які нижче підписалися, пропонуємо нижчезазначені товари/послуги у відповідності до умов вищезазначеного оголошення про проведення процедури закупівлі  (далі – „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Оголошення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”). Пропозиції за даною закупівлею надані у Таблиці відповідності вимогам Оголошення та Таблиці оцінки пропозицій за кожним критерієм оцінки.</w:t>
      </w:r>
    </w:p>
    <w:p w:rsidR="00000000" w:rsidDel="00000000" w:rsidP="00000000" w:rsidRDefault="00000000" w:rsidRPr="00000000">
      <w:pPr>
        <w:pStyle w:val="Heading1"/>
        <w:widowControl w:val="1"/>
        <w:spacing w:after="60" w:before="240" w:line="240" w:lineRule="auto"/>
        <w:contextualSpacing w:val="0"/>
        <w:jc w:val="left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1"/>
        <w:spacing w:after="60" w:before="240" w:line="240" w:lineRule="auto"/>
        <w:contextualSpacing w:val="0"/>
        <w:jc w:val="left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1. Загальні відомості про учасника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39.0" w:type="dxa"/>
        <w:jc w:val="left"/>
        <w:tblInd w:w="108.0" w:type="pct"/>
        <w:tblLayout w:type="fixed"/>
        <w:tblLook w:val="0000"/>
      </w:tblPr>
      <w:tblGrid>
        <w:gridCol w:w="720"/>
        <w:gridCol w:w="5659"/>
        <w:gridCol w:w="4860"/>
        <w:tblGridChange w:id="0">
          <w:tblGrid>
            <w:gridCol w:w="720"/>
            <w:gridCol w:w="5659"/>
            <w:gridCol w:w="48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Найменування юридичної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Юридична адреса: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Фактична адреса: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Дата державної реєстрації: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32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ПІБ та посада керівника юридичної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Номер телефону керівника юридичної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Контактна особа: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Номер телефону контактної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Номер факсу контактної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Електронна пошта контактної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Адреса веб-сайту: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Банківські реквізити: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Види діяльності учасника згідно Довідки з ЄДРПОУ та/або Єдиного державного    реєстру   юридичних   осіб   та   фізичних осіб   -   підприємців та/або статуту юридичної особи: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tabs>
                <w:tab w:val="left" w:pos="421"/>
              </w:tabs>
              <w:ind w:left="-4" w:right="459" w:firstLine="0"/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contextualSpacing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Якщо пропозиція подана агентом (посередником), вказати дійсного постачальника (найменування, адреса):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540"/>
        </w:tabs>
        <w:contextualSpacing w:val="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40"/>
        </w:tabs>
        <w:contextualSpacing w:val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40"/>
        </w:tabs>
        <w:contextualSpacing w:val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2. ТАБЛИЦЯ ВІДПОВІДНОСТІ ВИМОГАМ ОГОЛОШЕННЯ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677"/>
        <w:gridCol w:w="4395"/>
        <w:tblGridChange w:id="0">
          <w:tblGrid>
            <w:gridCol w:w="534"/>
            <w:gridCol w:w="4677"/>
            <w:gridCol w:w="4395"/>
          </w:tblGrid>
        </w:tblGridChange>
      </w:tblGrid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Обов’язкові кваліфікаційні вимоги до постачальника товарів або виконавця робіт та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Документи, які підтверджують відповідність кваліфікаційним вимогам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Наявність досвіду роботи (мінімум три роки) з надання послуг з розробки веб-порталів.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Виписка з ЄДР або аналогічний документ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-426"/>
              </w:tabs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-426"/>
              </w:tabs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Референс-лист, що включає перелік корпоративних клієнтів з телефонами контактних осіб.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Додаток № 1 до Тендерної пропозиції: «Референс-лист, що включає перелік корпоративних клієнтів з телефонами контактних осіб».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-426"/>
              </w:tabs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-426"/>
              </w:tabs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Інформація щодо розроблених веб-сайтів за 2016 р.: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426"/>
              </w:tabs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Технології які використовувались при створенні веб-порталів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426"/>
              </w:tabs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Підтверджене портфоліо з розробки і супроводу веб-порталів, аналогічних за масштабом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0" w:firstLine="360"/>
              <w:contextualSpacing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Додаток № 2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до Тендерної пропозиції: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«Перелік, кількість та якість розроблених веб-порталів у 2016 р. та технології що були використані».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Наявність в штаті компанії: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Web-дизайнер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Верстальник (досвід роботи 2+ роки)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Web-розробник (досвід роботи з сайтами побудованими на базі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PHP YII 2.0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Розробник баз даних (досвід роботи з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MySQL 5+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Координатор 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Тендерна пропозиція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(необхідно вказати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«так» або «ні» біля кожної позиції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Право на здійснення підприємницької діяльності за законодавством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Сканкопія Статуту (для юридичних осіб)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Документ, що підтверджує право на підписання договору.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677"/>
        <w:gridCol w:w="4395"/>
        <w:tblGridChange w:id="0">
          <w:tblGrid>
            <w:gridCol w:w="534"/>
            <w:gridCol w:w="4677"/>
            <w:gridCol w:w="439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Обов’язкові технічні вимоги до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Документи, які підтверджують відповідність технічним вимогам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-426"/>
              </w:tabs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tabs>
                <w:tab w:val="left" w:pos="-426"/>
              </w:tabs>
              <w:spacing w:after="0" w:lineRule="auto"/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Оплата послуг здійснюється на умовах</w:t>
            </w:r>
          </w:p>
          <w:p w:rsidR="00000000" w:rsidDel="00000000" w:rsidP="00000000" w:rsidRDefault="00000000" w:rsidRPr="00000000">
            <w:pPr>
              <w:tabs>
                <w:tab w:val="left" w:pos="-426"/>
              </w:tabs>
              <w:spacing w:after="0" w:before="0" w:lineRule="auto"/>
              <w:contextualSpacing w:val="0"/>
              <w:jc w:val="both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оплати по факту, після проведення робіт з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vertAlign w:val="baseline"/>
                <w:rtl w:val="0"/>
              </w:rPr>
              <w:t xml:space="preserve">розробки та тестування нового функціоналу Публічного Порталу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Тендерна пропозиція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0"/>
          <w:color w:val="ff0000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Невідповідність тендерної пропозиції хоча б одній з технічних та кваліфікаційних вимог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vertAlign w:val="baseline"/>
          <w:rtl w:val="0"/>
        </w:rPr>
        <w:t xml:space="preserve">призводить до автоматичної повної дискваліфікації такої тендерної пропозиції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0"/>
          <w:color w:val="ff0000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alibri" w:cs="Calibri" w:eastAsia="Calibri" w:hAnsi="Calibri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18"/>
          <w:szCs w:val="18"/>
          <w:vertAlign w:val="super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Підтвердити відповідність можна зазначивши у відповідній графі будь-яке слово згоди: «так», «погоджуємось», «відповідаємо» тощо.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ahoma" w:cs="Tahoma" w:eastAsia="Tahoma" w:hAnsi="Tahoma"/>
          <w:color w:val="ff0000"/>
          <w:sz w:val="18"/>
          <w:szCs w:val="18"/>
          <w:u w:val="singl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ff0000"/>
          <w:sz w:val="18"/>
          <w:szCs w:val="18"/>
          <w:u w:val="single"/>
          <w:vertAlign w:val="superscript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superscript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8"/>
          <w:szCs w:val="18"/>
          <w:u w:val="single"/>
          <w:vertAlign w:val="baseline"/>
          <w:rtl w:val="0"/>
        </w:rPr>
        <w:t xml:space="preserve">При визначенні вартості послуг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див. пункт 9 розділу «Правила оформлення тендерної пропозиції учасника» Оголошення.</w:t>
      </w:r>
    </w:p>
    <w:p w:rsidR="00000000" w:rsidDel="00000000" w:rsidP="00000000" w:rsidRDefault="00000000" w:rsidRPr="00000000">
      <w:pPr>
        <w:contextualSpacing w:val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Підписанням та поданням цієї тендерної пропозиції </w:t>
      </w:r>
      <w:r w:rsidDel="00000000" w:rsidR="00000000" w:rsidRPr="00000000">
        <w:rPr>
          <w:rFonts w:ascii="Tahoma" w:cs="Tahoma" w:eastAsia="Tahoma" w:hAnsi="Tahoma"/>
          <w:color w:val="0f0fb9"/>
          <w:sz w:val="20"/>
          <w:szCs w:val="20"/>
          <w:vertAlign w:val="baseline"/>
          <w:rtl w:val="0"/>
        </w:rPr>
        <w:t xml:space="preserve">[назва учасника]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зобов’язується у випадку акцепту цієї пропозиції TI Україна: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30 календарних днів з дати подачі пропозиції. Ця тендерна пропозиція може бути прийнята (акцептована) TI Україна в будь-який момент до завершення періоду її дії;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підписати договір поставки/надання послуг протягом 30-ти днів з дати прийняття (акцепту) цієї тендерної пропозиції з обов’язковим дотриманням положень проекту такого договору.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поставити необхідний товар / надати вказані вище послуги у відповідності з умовами цієї тендерної пропозиції та проекту договору поставки / надання послуг.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забезпечити повноту та точність виконання цієї тендерної пропозиції за формою, цінами/тарифами та у строки, вказані у цій тендерній пропозиції та Оголошенні.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Підписанням та поданням цієї тендерної пропозиції учасник погоджується з наступним: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учасник ознайомлений з Оголошенням, яке опубліковано на веб-сайті TI Україна </w:t>
      </w:r>
      <w:hyperlink r:id="rId5">
        <w:r w:rsidDel="00000000" w:rsidR="00000000" w:rsidRPr="00000000">
          <w:rPr>
            <w:rFonts w:ascii="Tahoma" w:cs="Tahoma" w:eastAsia="Tahoma" w:hAnsi="Tahoma"/>
            <w:color w:val="0000ff"/>
            <w:sz w:val="20"/>
            <w:szCs w:val="20"/>
            <w:u w:val="single"/>
            <w:vertAlign w:val="baseline"/>
            <w:rtl w:val="0"/>
          </w:rPr>
          <w:t xml:space="preserve">http://ti-ukraine.org/</w:t>
        </w:r>
      </w:hyperlink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TI Україна залишає за собою право відхилити тендерні пропозиції всіх учасників процедури закупівлі;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дана тендерна пропозиція та Оголошення є невід’ємними частинами відповідного договору на закупівлю товарів/послуг, котрий буде укладений TI Україна з переможцем тендеру;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участь у тендері пов’язаних осіб або ж змова учасників тендеру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TI Україна;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firstLine="284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надавати послуги тільки через одну юридичну особу та не має права змінювати надавача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>
      <w:pPr>
        <w:ind w:left="-426" w:firstLine="0"/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Цим ми підтверджуємо нашу юридичну, фінансову та іншу спроможність виконати умови даної тендерної пропозиції та Оголошення, укласти договір на закупівлю товарів/послуг та правдивість всіх відомостей зазначених у цій тендерній пропозиції.</w:t>
      </w:r>
    </w:p>
    <w:p w:rsidR="00000000" w:rsidDel="00000000" w:rsidP="00000000" w:rsidRDefault="00000000" w:rsidRPr="00000000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both"/>
        <w:rPr>
          <w:rFonts w:ascii="Tahoma" w:cs="Tahoma" w:eastAsia="Tahoma" w:hAnsi="Tahoma"/>
          <w:b w:val="0"/>
          <w:color w:val="0f0fb9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Уповноважений підписати тендерну пропозицію для та від імені </w:t>
      </w:r>
      <w:r w:rsidDel="00000000" w:rsidR="00000000" w:rsidRPr="00000000">
        <w:rPr>
          <w:rFonts w:ascii="Tahoma" w:cs="Tahoma" w:eastAsia="Tahoma" w:hAnsi="Tahoma"/>
          <w:b w:val="0"/>
          <w:color w:val="0f0fb9"/>
          <w:sz w:val="20"/>
          <w:szCs w:val="20"/>
          <w:vertAlign w:val="baseline"/>
          <w:rtl w:val="0"/>
        </w:rPr>
        <w:t xml:space="preserve">[назва юридичної особи/ФОП]</w:t>
      </w: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згідно  </w:t>
      </w:r>
      <w:r w:rsidDel="00000000" w:rsidR="00000000" w:rsidRPr="00000000">
        <w:rPr>
          <w:rFonts w:ascii="Tahoma" w:cs="Tahoma" w:eastAsia="Tahoma" w:hAnsi="Tahoma"/>
          <w:b w:val="0"/>
          <w:color w:val="0f0fb9"/>
          <w:sz w:val="20"/>
          <w:szCs w:val="20"/>
          <w:vertAlign w:val="baseline"/>
          <w:rtl w:val="0"/>
        </w:rPr>
        <w:t xml:space="preserve">[статуту або довіреності]:</w:t>
      </w:r>
    </w:p>
    <w:p w:rsidR="00000000" w:rsidDel="00000000" w:rsidP="00000000" w:rsidRDefault="00000000" w:rsidRPr="00000000">
      <w:pPr>
        <w:tabs>
          <w:tab w:val="right" w:pos="8640"/>
        </w:tabs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640"/>
        </w:tabs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640"/>
        </w:tabs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8640"/>
        </w:tabs>
        <w:contextualSpacing w:val="0"/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_______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 xml:space="preserve">___________________ 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 xml:space="preserve">_________________________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           </w:t>
        <w:tab/>
        <w:t xml:space="preserve">  [Дата]</w:t>
      </w:r>
    </w:p>
    <w:p w:rsidR="00000000" w:rsidDel="00000000" w:rsidP="00000000" w:rsidRDefault="00000000" w:rsidRPr="00000000">
      <w:pPr>
        <w:pStyle w:val="Heading1"/>
        <w:ind w:firstLine="708"/>
        <w:contextualSpacing w:val="0"/>
        <w:jc w:val="left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[ПІБ, посада]</w:t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sz w:val="20"/>
          <w:szCs w:val="20"/>
          <w:vertAlign w:val="baseline"/>
          <w:rtl w:val="0"/>
        </w:rPr>
        <w:t xml:space="preserve">[підпис]                      </w:t>
      </w:r>
    </w:p>
    <w:p w:rsidR="00000000" w:rsidDel="00000000" w:rsidP="00000000" w:rsidRDefault="00000000" w:rsidRPr="00000000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[М.П.]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3600"/>
          <w:tab w:val="right" w:pos="4320"/>
          <w:tab w:val="right" w:pos="8640"/>
        </w:tabs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3600"/>
          <w:tab w:val="right" w:pos="4320"/>
          <w:tab w:val="right" w:pos="8640"/>
        </w:tabs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3600"/>
          <w:tab w:val="right" w:pos="4320"/>
          <w:tab w:val="right" w:pos="8640"/>
        </w:tabs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3600"/>
          <w:tab w:val="right" w:pos="4320"/>
          <w:tab w:val="right" w:pos="8640"/>
        </w:tabs>
        <w:contextualSpacing w:val="0"/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Перелік підтверджуючих документів, які додаються до пропозиції: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284" w:top="709" w:left="1276" w:right="74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right"/>
    </w:pPr>
    <w:rPr>
      <w:b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ti-ukraine.org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