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AA37" w14:textId="47FCF22B" w:rsidR="005A7E06" w:rsidRPr="00896B31" w:rsidRDefault="005A7E06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Minion Pro" w:hAnsi="Minion Pro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E701EAF" wp14:editId="4E55EB8D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994535" cy="477520"/>
            <wp:effectExtent l="0" t="0" r="12065" b="5080"/>
            <wp:wrapNone/>
            <wp:docPr id="14" name="Picture 14" descr="../LOGOS/TI%20Ukraine/transparency_u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LOGOS/TI%20Ukraine/transparency_u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B31">
        <w:rPr>
          <w:rFonts w:ascii="Tahoma" w:hAnsi="Tahoma" w:cs="Tahoma"/>
          <w:b/>
          <w:sz w:val="20"/>
          <w:szCs w:val="20"/>
          <w:lang w:val="uk-UA"/>
        </w:rPr>
        <w:t xml:space="preserve"> </w:t>
      </w:r>
    </w:p>
    <w:p w14:paraId="451FBEB2" w14:textId="77777777" w:rsidR="005A7E06" w:rsidRPr="00896B31" w:rsidRDefault="005A7E06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</w:p>
    <w:p w14:paraId="6DE38DC6" w14:textId="46359315" w:rsidR="00A25481" w:rsidRPr="00896B31" w:rsidRDefault="00A25481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</w:p>
    <w:p w14:paraId="4DC2E056" w14:textId="77777777" w:rsidR="005A7E06" w:rsidRPr="00896B31" w:rsidRDefault="005A7E06" w:rsidP="00B871FF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</w:p>
    <w:p w14:paraId="48252360" w14:textId="1CE41326" w:rsidR="001B59A1" w:rsidRPr="00896B31" w:rsidRDefault="006964FC" w:rsidP="001B59A1">
      <w:pPr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29</w:t>
      </w:r>
      <w:r w:rsidR="005A7E06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sz w:val="20"/>
          <w:szCs w:val="20"/>
          <w:lang w:val="uk-UA"/>
        </w:rPr>
        <w:t>травня</w:t>
      </w:r>
      <w:r w:rsidR="005A7E06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201</w:t>
      </w:r>
      <w:r w:rsidR="005A7E06" w:rsidRPr="00896B31">
        <w:rPr>
          <w:rFonts w:ascii="Tahoma" w:hAnsi="Tahoma" w:cs="Tahoma"/>
          <w:sz w:val="20"/>
          <w:szCs w:val="20"/>
          <w:lang w:val="uk-UA"/>
        </w:rPr>
        <w:t>7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р.</w:t>
      </w:r>
    </w:p>
    <w:p w14:paraId="53CAF570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sz w:val="21"/>
          <w:szCs w:val="21"/>
          <w:lang w:val="uk-UA"/>
        </w:rPr>
      </w:pPr>
      <w:r w:rsidRPr="00896B31">
        <w:rPr>
          <w:rFonts w:ascii="Tahoma" w:hAnsi="Tahoma" w:cs="Tahoma"/>
          <w:b/>
          <w:sz w:val="21"/>
          <w:szCs w:val="21"/>
          <w:lang w:val="uk-UA"/>
        </w:rPr>
        <w:t xml:space="preserve">ОГОЛОШЕННЯ </w:t>
      </w:r>
    </w:p>
    <w:p w14:paraId="2C36A22E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b/>
          <w:sz w:val="21"/>
          <w:szCs w:val="21"/>
          <w:lang w:val="uk-UA"/>
        </w:rPr>
      </w:pPr>
      <w:r w:rsidRPr="00896B31">
        <w:rPr>
          <w:rFonts w:ascii="Tahoma" w:hAnsi="Tahoma" w:cs="Tahoma"/>
          <w:b/>
          <w:sz w:val="21"/>
          <w:szCs w:val="21"/>
          <w:lang w:val="uk-UA"/>
        </w:rPr>
        <w:t>про проведення процедури закупівлі</w:t>
      </w:r>
    </w:p>
    <w:p w14:paraId="46F8860B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b/>
          <w:sz w:val="21"/>
          <w:szCs w:val="21"/>
          <w:lang w:val="uk-UA"/>
        </w:rPr>
      </w:pPr>
      <w:r w:rsidRPr="00896B31">
        <w:rPr>
          <w:rFonts w:ascii="Tahoma" w:hAnsi="Tahoma" w:cs="Tahoma"/>
          <w:sz w:val="21"/>
          <w:szCs w:val="21"/>
          <w:lang w:val="uk-UA"/>
        </w:rPr>
        <w:t>(далі – «Оголошення»)</w:t>
      </w:r>
    </w:p>
    <w:p w14:paraId="473B2AD6" w14:textId="77777777" w:rsidR="001B59A1" w:rsidRPr="00896B31" w:rsidRDefault="001B59A1" w:rsidP="001B59A1">
      <w:pPr>
        <w:jc w:val="both"/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</w:pPr>
    </w:p>
    <w:p w14:paraId="43E74196" w14:textId="46602C51" w:rsidR="00C40EC8" w:rsidRPr="00BF6FD2" w:rsidRDefault="005A7E06" w:rsidP="00E705FA">
      <w:pPr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</w:pPr>
      <w:r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Громадська організація “Трансперенсі Інтернешлн Україна” 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(далі – </w:t>
      </w:r>
      <w:r w:rsidR="001B59A1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«</w:t>
      </w:r>
      <w:r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en-US"/>
        </w:rPr>
        <w:t>TI</w:t>
      </w:r>
      <w:r w:rsidRPr="00BF6FD2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 Україна</w:t>
      </w:r>
      <w:r w:rsidR="001B59A1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»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)</w:t>
      </w:r>
      <w:r w:rsidR="00D3582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оголо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шує </w:t>
      </w:r>
      <w:r w:rsidR="00662C87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тендер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на</w:t>
      </w:r>
      <w:r w:rsidR="004E6C22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закупівлю</w:t>
      </w:r>
      <w:r w:rsidR="001B59A1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</w:t>
      </w:r>
      <w:r w:rsidR="00FC4ABA" w:rsidRPr="00896B31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послуг </w:t>
      </w:r>
      <w:r w:rsidR="00FC4ABA" w:rsidRPr="00896B31">
        <w:rPr>
          <w:rFonts w:ascii="Tahoma" w:hAnsi="Tahoma" w:cs="Tahoma"/>
          <w:sz w:val="20"/>
          <w:szCs w:val="20"/>
          <w:lang w:val="uk-UA"/>
        </w:rPr>
        <w:t xml:space="preserve">з </w:t>
      </w:r>
      <w:r w:rsidR="00BF6FD2">
        <w:rPr>
          <w:rFonts w:ascii="Tahoma" w:hAnsi="Tahoma" w:cs="Tahoma"/>
          <w:sz w:val="20"/>
          <w:szCs w:val="20"/>
          <w:lang w:val="uk-UA"/>
        </w:rPr>
        <w:t xml:space="preserve">організації та </w:t>
      </w:r>
      <w:r w:rsidR="00FC4ABA" w:rsidRPr="00896B31">
        <w:rPr>
          <w:rFonts w:ascii="Tahoma" w:hAnsi="Tahoma" w:cs="Tahoma"/>
          <w:sz w:val="20"/>
          <w:szCs w:val="20"/>
          <w:lang w:val="uk-UA"/>
        </w:rPr>
        <w:t xml:space="preserve">матеріально-технічного супроводу </w:t>
      </w:r>
      <w:r w:rsidR="00D403A4">
        <w:rPr>
          <w:rFonts w:ascii="Tahoma" w:hAnsi="Tahoma" w:cs="Tahoma"/>
          <w:sz w:val="20"/>
          <w:szCs w:val="20"/>
          <w:lang w:val="uk-UA"/>
        </w:rPr>
        <w:t>десяти</w:t>
      </w:r>
      <w:r w:rsidR="00BF6FD2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семінарів по 30 учасників</w:t>
      </w:r>
      <w:r w:rsidR="00D403A4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(+4 тренери)</w:t>
      </w:r>
      <w:r w:rsidR="00BF6FD2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у таких містах: </w:t>
      </w:r>
      <w:r w:rsidR="00BF6FD2" w:rsidRPr="00BF6FD2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України: Київ, Львів, Хмельницький, Кропивницький, Полтава</w:t>
      </w:r>
      <w:r w:rsidR="00E705FA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, Одеса, Дніпро, </w:t>
      </w:r>
      <w:r w:rsidR="00AF311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Слов’янськ</w:t>
      </w:r>
      <w:r w:rsidR="00E705FA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, Запоріжжя, Харків</w:t>
      </w:r>
      <w:r w:rsidR="00BF6FD2" w:rsidRPr="00BF6FD2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.</w:t>
      </w:r>
      <w:r w:rsidR="00344B9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Тендер проводиться в межах проекту «Розбудова прозорості в містах України», який реалізується за підтримки Фонду демократії ООН (</w:t>
      </w:r>
      <w:r w:rsidR="00344B9F">
        <w:rPr>
          <w:rFonts w:ascii="Tahoma" w:hAnsi="Tahoma" w:cs="Tahoma"/>
          <w:bCs/>
          <w:color w:val="000000"/>
          <w:spacing w:val="-6"/>
          <w:sz w:val="20"/>
          <w:szCs w:val="20"/>
          <w:lang w:val="en-US"/>
        </w:rPr>
        <w:t>UNDEF</w:t>
      </w:r>
      <w:r w:rsidR="00344B9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)</w:t>
      </w:r>
      <w:r w:rsidR="00344B9F" w:rsidRPr="00344B9F">
        <w:rPr>
          <w:rFonts w:ascii="Tahoma" w:hAnsi="Tahoma" w:cs="Tahoma"/>
          <w:bCs/>
          <w:color w:val="000000"/>
          <w:spacing w:val="-6"/>
          <w:sz w:val="20"/>
          <w:szCs w:val="20"/>
        </w:rPr>
        <w:t>.</w:t>
      </w:r>
      <w:r w:rsidR="00BF6FD2">
        <w:rPr>
          <w:lang w:val="uk-UA"/>
        </w:rPr>
        <w:br/>
      </w:r>
    </w:p>
    <w:p w14:paraId="19CBFC46" w14:textId="77777777" w:rsidR="00C40EC8" w:rsidRPr="00896B31" w:rsidRDefault="00C40EC8" w:rsidP="00AE687E">
      <w:pPr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</w:p>
    <w:p w14:paraId="4199C8AB" w14:textId="2F3F2CD9" w:rsidR="00D960FB" w:rsidRPr="00896B31" w:rsidRDefault="00FC4ABA" w:rsidP="00D960FB">
      <w:pPr>
        <w:jc w:val="both"/>
        <w:rPr>
          <w:rFonts w:ascii="Tahoma" w:hAnsi="Tahoma" w:cs="Tahoma"/>
          <w:sz w:val="21"/>
          <w:szCs w:val="21"/>
          <w:lang w:val="uk-UA"/>
        </w:rPr>
      </w:pPr>
      <w:r w:rsidRPr="00896B31">
        <w:rPr>
          <w:rFonts w:ascii="Tahoma" w:hAnsi="Tahoma" w:cs="Tahoma"/>
          <w:b/>
          <w:bCs/>
          <w:sz w:val="20"/>
          <w:szCs w:val="20"/>
          <w:lang w:val="uk-UA"/>
        </w:rPr>
        <w:t>1</w:t>
      </w:r>
      <w:r w:rsidR="00076D81"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. </w:t>
      </w:r>
      <w:r w:rsidR="001B59A1" w:rsidRPr="00896B31">
        <w:rPr>
          <w:rFonts w:ascii="Tahoma" w:hAnsi="Tahoma" w:cs="Tahoma"/>
          <w:b/>
          <w:bCs/>
          <w:sz w:val="20"/>
          <w:szCs w:val="20"/>
          <w:lang w:val="uk-UA"/>
        </w:rPr>
        <w:t>Термін надання послуг</w:t>
      </w:r>
      <w:r w:rsidR="00BD0785" w:rsidRPr="00896B31">
        <w:rPr>
          <w:rFonts w:ascii="Tahoma" w:hAnsi="Tahoma" w:cs="Tahoma"/>
          <w:b/>
          <w:bCs/>
          <w:sz w:val="20"/>
          <w:szCs w:val="20"/>
          <w:lang w:val="uk-UA"/>
        </w:rPr>
        <w:t>/виконання робіт</w:t>
      </w:r>
      <w:r w:rsidR="001B59A1" w:rsidRPr="00896B31">
        <w:rPr>
          <w:rFonts w:ascii="Tahoma" w:hAnsi="Tahoma" w:cs="Tahoma"/>
          <w:b/>
          <w:bCs/>
          <w:sz w:val="20"/>
          <w:szCs w:val="20"/>
          <w:lang w:val="uk-UA"/>
        </w:rPr>
        <w:t>:</w:t>
      </w:r>
      <w:r w:rsidR="00F8061A"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 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з 01 </w:t>
      </w:r>
      <w:r w:rsidR="00662C87" w:rsidRPr="00896B31">
        <w:rPr>
          <w:rFonts w:ascii="Tahoma" w:eastAsia="Arial Unicode MS" w:hAnsi="Tahoma" w:cs="Tahoma"/>
          <w:sz w:val="20"/>
          <w:szCs w:val="20"/>
          <w:lang w:val="uk-UA"/>
        </w:rPr>
        <w:t>л</w:t>
      </w:r>
      <w:r w:rsidR="00315486">
        <w:rPr>
          <w:rFonts w:ascii="Tahoma" w:eastAsia="Arial Unicode MS" w:hAnsi="Tahoma" w:cs="Tahoma"/>
          <w:sz w:val="20"/>
          <w:szCs w:val="20"/>
          <w:lang w:val="uk-UA"/>
        </w:rPr>
        <w:t>ипня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201</w:t>
      </w:r>
      <w:r w:rsidR="00662C87" w:rsidRPr="00896B31">
        <w:rPr>
          <w:rFonts w:ascii="Tahoma" w:eastAsia="Arial Unicode MS" w:hAnsi="Tahoma" w:cs="Tahoma"/>
          <w:sz w:val="20"/>
          <w:szCs w:val="20"/>
          <w:lang w:val="uk-UA"/>
        </w:rPr>
        <w:t>7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року по 30 грудня 2017 року</w:t>
      </w:r>
      <w:r w:rsidR="000742B2" w:rsidRPr="00896B31">
        <w:rPr>
          <w:rFonts w:ascii="Tahoma" w:hAnsi="Tahoma" w:cs="Tahoma"/>
          <w:sz w:val="21"/>
          <w:szCs w:val="21"/>
          <w:lang w:val="uk-UA"/>
        </w:rPr>
        <w:t>.</w:t>
      </w:r>
    </w:p>
    <w:p w14:paraId="43B42DA6" w14:textId="77777777" w:rsidR="00D960FB" w:rsidRPr="00896B31" w:rsidRDefault="00D960FB" w:rsidP="00D960FB">
      <w:pPr>
        <w:jc w:val="both"/>
        <w:rPr>
          <w:rFonts w:ascii="Tahoma" w:hAnsi="Tahoma" w:cs="Tahoma"/>
          <w:sz w:val="21"/>
          <w:szCs w:val="21"/>
          <w:lang w:val="uk-UA"/>
        </w:rPr>
      </w:pPr>
    </w:p>
    <w:p w14:paraId="724817DD" w14:textId="3913FC26" w:rsidR="000742B2" w:rsidRPr="00896B31" w:rsidRDefault="00FC4ABA" w:rsidP="00A9787D">
      <w:pPr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1"/>
          <w:szCs w:val="21"/>
          <w:lang w:val="uk-UA"/>
        </w:rPr>
        <w:t>2</w:t>
      </w:r>
      <w:r w:rsidR="00076D81" w:rsidRPr="00896B31">
        <w:rPr>
          <w:rFonts w:ascii="Tahoma" w:hAnsi="Tahoma" w:cs="Tahoma"/>
          <w:b/>
          <w:sz w:val="21"/>
          <w:szCs w:val="21"/>
          <w:lang w:val="uk-UA"/>
        </w:rPr>
        <w:t xml:space="preserve">. </w:t>
      </w:r>
      <w:r w:rsidR="001B59A1" w:rsidRPr="00896B31">
        <w:rPr>
          <w:rFonts w:ascii="Tahoma" w:hAnsi="Tahoma" w:cs="Tahoma"/>
          <w:b/>
          <w:sz w:val="21"/>
          <w:szCs w:val="21"/>
          <w:lang w:val="uk-UA"/>
        </w:rPr>
        <w:t>Очікуваний результат:</w:t>
      </w:r>
      <w:r w:rsidR="000742B2"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 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>Підписання угоди про співробітництво. Отримання послуг з</w:t>
      </w:r>
      <w:r w:rsidR="006146B8">
        <w:rPr>
          <w:rFonts w:ascii="Tahoma" w:eastAsia="Arial Unicode MS" w:hAnsi="Tahoma" w:cs="Tahoma"/>
          <w:sz w:val="20"/>
          <w:szCs w:val="20"/>
          <w:lang w:val="uk-UA"/>
        </w:rPr>
        <w:t xml:space="preserve"> організації та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матеріально-технічного супроводу заходів</w:t>
      </w:r>
      <w:r w:rsidR="000742B2" w:rsidRPr="00896B31">
        <w:rPr>
          <w:rFonts w:ascii="Tahoma" w:hAnsi="Tahoma" w:cs="Tahoma"/>
          <w:b/>
          <w:bCs/>
          <w:sz w:val="20"/>
          <w:szCs w:val="20"/>
          <w:lang w:val="uk-UA"/>
        </w:rPr>
        <w:t>.</w:t>
      </w:r>
    </w:p>
    <w:p w14:paraId="52C85BF7" w14:textId="77777777" w:rsidR="00D960FB" w:rsidRPr="00896B31" w:rsidRDefault="000742B2" w:rsidP="00A9787D">
      <w:pPr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  <w:r w:rsidRPr="00896B31">
        <w:rPr>
          <w:rFonts w:ascii="Tahoma" w:hAnsi="Tahoma" w:cs="Tahoma"/>
          <w:b/>
          <w:bCs/>
          <w:sz w:val="20"/>
          <w:szCs w:val="20"/>
          <w:lang w:val="uk-UA"/>
        </w:rPr>
        <w:t xml:space="preserve"> </w:t>
      </w:r>
    </w:p>
    <w:p w14:paraId="6B7CF51C" w14:textId="77777777" w:rsidR="00120505" w:rsidRPr="00896B31" w:rsidRDefault="00FC4ABA" w:rsidP="00A9787D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3</w:t>
      </w:r>
      <w:r w:rsidR="00076D81" w:rsidRPr="00896B31">
        <w:rPr>
          <w:rFonts w:ascii="Tahoma" w:hAnsi="Tahoma" w:cs="Tahoma"/>
          <w:b/>
          <w:sz w:val="20"/>
          <w:szCs w:val="20"/>
          <w:lang w:val="uk-UA"/>
        </w:rPr>
        <w:t xml:space="preserve">. </w:t>
      </w:r>
      <w:r w:rsidR="00D0269D" w:rsidRPr="00896B31">
        <w:rPr>
          <w:rFonts w:ascii="Tahoma" w:hAnsi="Tahoma" w:cs="Tahoma"/>
          <w:b/>
          <w:sz w:val="20"/>
          <w:szCs w:val="20"/>
          <w:lang w:val="uk-UA"/>
        </w:rPr>
        <w:t>Обов’язкові технічні та кваліфікаційні вимоги до предмета закупівлі</w:t>
      </w:r>
      <w:r w:rsidR="00B419F4" w:rsidRPr="00896B31">
        <w:rPr>
          <w:rFonts w:ascii="Tahoma" w:hAnsi="Tahoma" w:cs="Tahoma"/>
          <w:b/>
          <w:sz w:val="20"/>
          <w:szCs w:val="20"/>
          <w:lang w:val="uk-UA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662C87" w:rsidRPr="001B07DC" w14:paraId="2360181C" w14:textId="77777777" w:rsidTr="00B646F3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D41FF8" w14:textId="77777777" w:rsidR="00662C87" w:rsidRPr="00896B31" w:rsidRDefault="00662C87" w:rsidP="00B646F3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DB3D0A" w14:textId="77777777" w:rsidR="00662C87" w:rsidRPr="00896B31" w:rsidRDefault="00662C87" w:rsidP="00662C87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C1A191" w14:textId="77777777" w:rsidR="00662C87" w:rsidRPr="00896B31" w:rsidRDefault="00662C87" w:rsidP="00B646F3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662C87" w:rsidRPr="00896B31" w14:paraId="79081BF9" w14:textId="77777777" w:rsidTr="00B646F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B3F" w14:textId="77777777" w:rsidR="00662C87" w:rsidRPr="00896B31" w:rsidRDefault="00662C87" w:rsidP="00B646F3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27E5" w14:textId="57B01AF7" w:rsidR="00662C87" w:rsidRPr="00896B31" w:rsidRDefault="00662C87" w:rsidP="00F606C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Наявність досвіду роботи з надання послуг матеріальн</w:t>
            </w:r>
            <w:r w:rsidR="005A7E06"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о-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технічного</w:t>
            </w:r>
            <w:r w:rsidR="005A7E06"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забезпечення конгресів, конференцій та ділових заходів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4505" w14:textId="77777777" w:rsidR="00662C87" w:rsidRPr="00896B31" w:rsidRDefault="00662C87" w:rsidP="00B646F3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  <w:p w14:paraId="4298BFEF" w14:textId="77777777" w:rsidR="00662C87" w:rsidRPr="00896B31" w:rsidRDefault="00662C87" w:rsidP="00B646F3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  <w:tr w:rsidR="00662C87" w:rsidRPr="00896B31" w14:paraId="4EFDAEB8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BBA" w14:textId="77777777" w:rsidR="00662C87" w:rsidRPr="00896B31" w:rsidRDefault="00662C87" w:rsidP="00B646F3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8B" w14:textId="77777777" w:rsidR="00662C87" w:rsidRPr="00896B31" w:rsidRDefault="00662C87" w:rsidP="00B646F3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Референс-лист, що включає перелік корпоративних клієнтів з телефонами контактних осіб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685" w14:textId="77777777" w:rsidR="00662C87" w:rsidRPr="00896B31" w:rsidRDefault="00662C87" w:rsidP="00662C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Додаток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№ 1 до Тендерної пропозиції: «Референс-лист, що включає перелік корпоративних клієнтів з телефонами контактних осіб».</w:t>
            </w:r>
          </w:p>
          <w:p w14:paraId="07EDF5DC" w14:textId="77777777" w:rsidR="00662C87" w:rsidRPr="00896B31" w:rsidRDefault="00662C87" w:rsidP="00662C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Рекомендаційні листи (не менше трьох листів) від корпоративних клієнтів за 2016 рік.</w:t>
            </w:r>
          </w:p>
        </w:tc>
      </w:tr>
      <w:tr w:rsidR="00662C87" w:rsidRPr="00896B31" w14:paraId="61C0144E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2B7" w14:textId="77777777" w:rsidR="00662C87" w:rsidRPr="00896B31" w:rsidRDefault="00662C87" w:rsidP="00B646F3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993" w14:textId="77777777" w:rsidR="00662C87" w:rsidRPr="00896B31" w:rsidRDefault="00662C87" w:rsidP="00896B31">
            <w:pPr>
              <w:tabs>
                <w:tab w:val="left" w:pos="-426"/>
              </w:tabs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Інформація щодо проведених заходів за 2016</w:t>
            </w:r>
            <w:r w:rsidR="005A7E06"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р.:</w:t>
            </w:r>
          </w:p>
          <w:p w14:paraId="5620FFE1" w14:textId="77777777" w:rsidR="005A7E06" w:rsidRPr="00896B31" w:rsidRDefault="00662C87" w:rsidP="00896B31">
            <w:pPr>
              <w:pStyle w:val="af6"/>
              <w:numPr>
                <w:ilvl w:val="0"/>
                <w:numId w:val="28"/>
              </w:numPr>
              <w:tabs>
                <w:tab w:val="left" w:pos="-426"/>
              </w:tabs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м</w:t>
            </w:r>
            <w:r w:rsidRPr="00896B31">
              <w:rPr>
                <w:rFonts w:ascii="Tahoma" w:hAnsi="Tahoma" w:cs="Tahoma"/>
                <w:sz w:val="20"/>
                <w:szCs w:val="20"/>
                <w:lang w:val="ru-RU"/>
              </w:rPr>
              <w:t>іжнародних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та національних конгресів/</w:t>
            </w:r>
            <w:r w:rsidRPr="00896B31">
              <w:rPr>
                <w:rFonts w:ascii="Tahoma" w:hAnsi="Tahoma" w:cs="Tahoma"/>
                <w:sz w:val="20"/>
                <w:szCs w:val="20"/>
                <w:lang w:val="ru-RU"/>
              </w:rPr>
              <w:t>конференцій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– понад 150 учасників</w:t>
            </w:r>
            <w:r w:rsidR="005A7E06" w:rsidRPr="00896B31">
              <w:rPr>
                <w:rFonts w:ascii="Tahoma" w:hAnsi="Tahoma" w:cs="Tahoma"/>
                <w:sz w:val="20"/>
                <w:szCs w:val="20"/>
                <w:lang w:val="ru-RU"/>
              </w:rPr>
              <w:t>;</w:t>
            </w:r>
          </w:p>
          <w:p w14:paraId="20859189" w14:textId="0FABC015" w:rsidR="00662C87" w:rsidRPr="00896B31" w:rsidRDefault="00662C87" w:rsidP="00D403A4">
            <w:pPr>
              <w:pStyle w:val="af6"/>
              <w:numPr>
                <w:ilvl w:val="0"/>
                <w:numId w:val="28"/>
              </w:numPr>
              <w:tabs>
                <w:tab w:val="left" w:pos="-426"/>
              </w:tabs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D403A4">
              <w:rPr>
                <w:rFonts w:ascii="Tahoma" w:hAnsi="Tahoma" w:cs="Tahoma"/>
                <w:sz w:val="20"/>
                <w:szCs w:val="20"/>
                <w:lang w:val="ru-RU"/>
              </w:rPr>
              <w:t>семінарів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/тренінгів</w:t>
            </w:r>
            <w:r w:rsidRPr="00D403A4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–</w:t>
            </w:r>
            <w:r w:rsidR="00D403A4">
              <w:rPr>
                <w:rFonts w:ascii="Tahoma" w:hAnsi="Tahoma" w:cs="Tahoma"/>
                <w:sz w:val="20"/>
                <w:szCs w:val="20"/>
                <w:lang w:val="uk-UA"/>
              </w:rPr>
              <w:t xml:space="preserve"> 30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 xml:space="preserve"> учасників</w:t>
            </w:r>
            <w:r w:rsidR="00D403A4">
              <w:rPr>
                <w:rFonts w:ascii="Tahoma" w:hAnsi="Tahoma" w:cs="Tahoma"/>
                <w:sz w:val="20"/>
                <w:szCs w:val="20"/>
                <w:lang w:val="uk-UA"/>
              </w:rPr>
              <w:t xml:space="preserve"> та більше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2FF" w14:textId="77777777" w:rsidR="00662C87" w:rsidRPr="00896B31" w:rsidRDefault="00662C87" w:rsidP="00662C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Додаток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№ 2</w:t>
            </w:r>
            <w:r w:rsidRPr="00896B31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до Тендерної пропозиції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:</w:t>
            </w: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«Перелік та кількість проведених заходів у 2016 р.».</w:t>
            </w:r>
          </w:p>
          <w:p w14:paraId="3CD8BC64" w14:textId="26D79674" w:rsidR="00662C87" w:rsidRPr="00896B31" w:rsidRDefault="00662C87" w:rsidP="00662C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Листи</w:t>
            </w:r>
            <w:r w:rsidR="005A7E06"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-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подяки/підтвердження про проведені у 2016 році заходи від 3 клієнтів з зазначенням контактної особи.</w:t>
            </w:r>
          </w:p>
        </w:tc>
      </w:tr>
      <w:tr w:rsidR="00662C87" w:rsidRPr="00896B31" w14:paraId="636A4928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538" w14:textId="77777777" w:rsidR="00662C87" w:rsidRPr="00896B31" w:rsidRDefault="00662C87" w:rsidP="00B646F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ahoma" w:eastAsia="Arial" w:hAnsi="Tahoma" w:cs="Tahoma"/>
                <w:spacing w:val="-1"/>
                <w:position w:val="-1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" w:hAnsi="Tahoma" w:cs="Tahoma"/>
                <w:spacing w:val="-1"/>
                <w:position w:val="-1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9DE" w14:textId="77777777" w:rsidR="00662C87" w:rsidRPr="00896B31" w:rsidRDefault="00662C87" w:rsidP="00B646F3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sz w:val="20"/>
                <w:szCs w:val="20"/>
                <w:lang w:val="uk-UA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7E1" w14:textId="2546FBC9" w:rsidR="00662C87" w:rsidRPr="00896B31" w:rsidRDefault="00F606CB" w:rsidP="00662C87">
            <w:pPr>
              <w:numPr>
                <w:ilvl w:val="0"/>
                <w:numId w:val="7"/>
              </w:num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Сканкопія</w:t>
            </w:r>
            <w:r w:rsidR="00662C87"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 xml:space="preserve"> Статуту</w:t>
            </w:r>
            <w:r w:rsidR="00662C87"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(для юридичних ос</w:t>
            </w:r>
            <w:r w:rsidR="00662C87"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і</w:t>
            </w:r>
            <w:r w:rsidR="00662C87"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б)</w:t>
            </w:r>
          </w:p>
          <w:p w14:paraId="65B171DE" w14:textId="2920B173" w:rsidR="00F606CB" w:rsidRPr="00896B31" w:rsidRDefault="00F606CB" w:rsidP="00662C87">
            <w:pPr>
              <w:numPr>
                <w:ilvl w:val="0"/>
                <w:numId w:val="7"/>
              </w:num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Документ, що підтверджує право на підписання договору</w:t>
            </w:r>
            <w:r w:rsidR="00224EE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</w:tr>
    </w:tbl>
    <w:p w14:paraId="7F8578DE" w14:textId="77777777" w:rsidR="00FC4ABA" w:rsidRPr="00896B31" w:rsidRDefault="00FC4ABA" w:rsidP="00A9787D">
      <w:pPr>
        <w:jc w:val="both"/>
        <w:rPr>
          <w:rFonts w:ascii="Tahoma" w:hAnsi="Tahoma" w:cs="Tahoma"/>
          <w:b/>
          <w:sz w:val="20"/>
          <w:szCs w:val="20"/>
        </w:rPr>
      </w:pPr>
    </w:p>
    <w:p w14:paraId="3E7AC7B9" w14:textId="77777777" w:rsidR="0056486C" w:rsidRPr="00896B31" w:rsidRDefault="0056486C" w:rsidP="00682751">
      <w:pPr>
        <w:jc w:val="both"/>
        <w:rPr>
          <w:rFonts w:ascii="Calibri" w:hAnsi="Calibri" w:cs="Calibri"/>
          <w:b/>
          <w:color w:val="FF0000"/>
          <w:sz w:val="18"/>
          <w:szCs w:val="18"/>
          <w:lang w:val="uk-UA"/>
        </w:rPr>
      </w:pPr>
    </w:p>
    <w:p w14:paraId="074CCD6A" w14:textId="77777777" w:rsidR="00FC4ABA" w:rsidRPr="00896B31" w:rsidRDefault="00FC4ABA" w:rsidP="00682751">
      <w:pPr>
        <w:jc w:val="both"/>
        <w:rPr>
          <w:rFonts w:ascii="Calibri" w:hAnsi="Calibri" w:cs="Calibri"/>
          <w:b/>
          <w:color w:val="FF0000"/>
          <w:sz w:val="18"/>
          <w:szCs w:val="18"/>
          <w:lang w:val="uk-UA"/>
        </w:rPr>
      </w:pPr>
    </w:p>
    <w:tbl>
      <w:tblPr>
        <w:tblpPr w:leftFromText="180" w:rightFromText="180" w:vertAnchor="text" w:horzAnchor="margin" w:tblpY="1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662C87" w:rsidRPr="00896B31" w14:paraId="2B71A694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87120BE" w14:textId="77777777" w:rsidR="00662C87" w:rsidRPr="00896B31" w:rsidRDefault="00662C87" w:rsidP="00B646F3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01EC92" w14:textId="77777777" w:rsidR="00662C87" w:rsidRPr="00896B31" w:rsidRDefault="00662C87" w:rsidP="00662C87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Обов’язкові технічні вимоги до предмета закупівлі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FDD64D2" w14:textId="77777777" w:rsidR="00662C87" w:rsidRPr="00896B31" w:rsidRDefault="00662C87" w:rsidP="00B646F3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62C87" w:rsidRPr="00896B31" w14:paraId="3E889265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0E2" w14:textId="77777777" w:rsidR="00662C87" w:rsidRPr="00896B31" w:rsidRDefault="00662C87" w:rsidP="00B646F3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1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522" w14:textId="77777777" w:rsidR="00662C87" w:rsidRPr="00896B31" w:rsidRDefault="00662C87" w:rsidP="00B646F3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Оплата послуг здійснюється на умовах</w:t>
            </w:r>
          </w:p>
          <w:p w14:paraId="062C2377" w14:textId="2F3622B1" w:rsidR="00662C87" w:rsidRPr="00896B31" w:rsidRDefault="00662C87" w:rsidP="00B646F3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оплати по факту, після проведення заходу та здійснення фінансової</w:t>
            </w:r>
            <w:r w:rsidR="005924D2"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 перевірки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.</w:t>
            </w:r>
          </w:p>
          <w:p w14:paraId="665942DA" w14:textId="32F0BA27" w:rsidR="00662C87" w:rsidRPr="00896B31" w:rsidRDefault="00662C87" w:rsidP="00B646F3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Авансовий платіж у розмірі не більше 50% можливий у разі, якщо загальний бюджет заходу перевищує </w:t>
            </w:r>
            <w:r w:rsidR="00F606CB"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4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0 000 грн.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8EFF" w14:textId="77777777" w:rsidR="00662C87" w:rsidRPr="00896B31" w:rsidRDefault="00662C87" w:rsidP="00B646F3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34BDD769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0AA7" w14:textId="77777777" w:rsidR="00662C87" w:rsidRPr="00896B31" w:rsidRDefault="00662C87" w:rsidP="00B646F3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9F6" w14:textId="77777777" w:rsidR="00662C87" w:rsidRPr="00896B31" w:rsidRDefault="00662C87" w:rsidP="00B646F3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Можливий відсоток комісійних витрат компанії (10%), при </w:t>
            </w:r>
            <w:r w:rsidRPr="00D403A4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бюджеті заходу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 менше п’яти тисяч гривень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D5A4" w14:textId="77777777" w:rsidR="00662C87" w:rsidRPr="00896B31" w:rsidRDefault="00662C87" w:rsidP="00B646F3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339EB534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105" w14:textId="77777777" w:rsidR="00662C87" w:rsidRPr="00896B31" w:rsidRDefault="00662C87" w:rsidP="00B646F3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40C4" w14:textId="7A0945C9" w:rsidR="00662C87" w:rsidRPr="00896B31" w:rsidRDefault="00662C87" w:rsidP="001B07DC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Замовник </w:t>
            </w:r>
            <w:r w:rsidR="001B07D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оплачує проїзд</w:t>
            </w:r>
            <w:r w:rsidRPr="00896B31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менеджера провайдер-компанії під час проведення заходів по всій території України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7418" w14:textId="77777777" w:rsidR="00662C87" w:rsidRPr="00896B31" w:rsidRDefault="00662C87" w:rsidP="00B646F3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2BB8D85D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8B9" w14:textId="77777777" w:rsidR="00662C87" w:rsidRPr="00896B31" w:rsidRDefault="00662C87" w:rsidP="00B646F3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36F" w14:textId="77777777" w:rsidR="00662C87" w:rsidRPr="00896B31" w:rsidRDefault="00662C87" w:rsidP="00B646F3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Пос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 w:eastAsia="en-US"/>
              </w:rPr>
              <w:t>л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у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ги та витрати/товари, які несе Постачальник при організації заходу (закупівля, доставка, обслуговування) мають бути включені у відсоток комісійних витрат Постачальника.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753" w14:textId="77777777" w:rsidR="00662C87" w:rsidRPr="00896B31" w:rsidRDefault="00662C87" w:rsidP="00B646F3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662C87" w:rsidRPr="00896B31" w14:paraId="36D9ECA1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666" w14:textId="29FEE8DE" w:rsidR="00662C87" w:rsidRPr="00896B31" w:rsidRDefault="00926DC0" w:rsidP="00B646F3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>
              <w:rPr>
                <w:rFonts w:ascii="Tahoma" w:eastAsia="Arial" w:hAnsi="Tahoma" w:cs="Tahoma"/>
                <w:spacing w:val="-1"/>
                <w:sz w:val="20"/>
                <w:szCs w:val="20"/>
                <w:lang w:val="en-US" w:eastAsia="en-US"/>
              </w:rPr>
              <w:t>5</w:t>
            </w:r>
            <w:r w:rsidR="00662C87"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024" w14:textId="77777777" w:rsidR="00662C87" w:rsidRPr="000F18D2" w:rsidRDefault="00662C87" w:rsidP="00B646F3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0F18D2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 xml:space="preserve">Наявність гнучкої системи нарахування відсотку комісійних в залежності від загального бюджету заходу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ECEF" w14:textId="77777777" w:rsidR="00662C87" w:rsidRPr="000F18D2" w:rsidRDefault="00662C87" w:rsidP="00662C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0F18D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Тендерна пропозиція </w:t>
            </w:r>
          </w:p>
          <w:p w14:paraId="27A66E15" w14:textId="519F468A" w:rsidR="00662C87" w:rsidRPr="000F18D2" w:rsidRDefault="00662C87" w:rsidP="00926DC0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  <w:tr w:rsidR="00662C87" w:rsidRPr="00896B31" w14:paraId="25DB3DE2" w14:textId="77777777" w:rsidTr="00B646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D86" w14:textId="2895141E" w:rsidR="00662C87" w:rsidRPr="00896B31" w:rsidRDefault="00926DC0" w:rsidP="00B646F3">
            <w:pPr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6</w:t>
            </w:r>
            <w:r w:rsidR="00662C87"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10FE" w14:textId="77777777" w:rsidR="00662C87" w:rsidRPr="00896B31" w:rsidRDefault="00662C87" w:rsidP="00B646F3">
            <w:pPr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Інформація щодо в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 w:eastAsia="en-US"/>
              </w:rPr>
              <w:t>артості додаткових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 р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е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с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у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рс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і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в, необ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х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і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 w:eastAsia="en-US"/>
              </w:rPr>
              <w:t>д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них 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 w:eastAsia="en-US"/>
              </w:rPr>
              <w:t>дл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я з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а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бе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з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п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е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чен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н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я проведе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н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ня з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а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х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одів:</w:t>
            </w:r>
          </w:p>
          <w:p w14:paraId="6269590D" w14:textId="77777777" w:rsidR="00662C87" w:rsidRPr="000946FA" w:rsidRDefault="00662C87" w:rsidP="00662C87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т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е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/>
              </w:rPr>
              <w:t>х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нічних з</w:t>
            </w:r>
            <w:r w:rsidRPr="00896B31">
              <w:rPr>
                <w:rFonts w:ascii="Tahoma" w:eastAsia="Arial" w:hAnsi="Tahoma" w:cs="Tahoma"/>
                <w:spacing w:val="-3"/>
                <w:sz w:val="20"/>
                <w:szCs w:val="20"/>
                <w:lang w:val="uk-UA"/>
              </w:rPr>
              <w:t>а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собів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 xml:space="preserve"> (принтер, ноутбук, екран, фліпчарт)</w:t>
            </w:r>
          </w:p>
          <w:p w14:paraId="38465590" w14:textId="77777777" w:rsidR="000946FA" w:rsidRPr="00BF6FD2" w:rsidRDefault="000946FA" w:rsidP="00662C87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синхронного перекладу з/на англійському мову (обладнання+перекладач)</w:t>
            </w:r>
          </w:p>
          <w:p w14:paraId="78C953FD" w14:textId="77777777" w:rsidR="00BF6FD2" w:rsidRPr="00BF6FD2" w:rsidRDefault="00BF6FD2" w:rsidP="00662C87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проживання в готелях рівня 3 зірки (стандарт)</w:t>
            </w:r>
          </w:p>
          <w:p w14:paraId="50B93522" w14:textId="77777777" w:rsidR="00697496" w:rsidRPr="00697496" w:rsidRDefault="00BF6FD2" w:rsidP="00BF6FD2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організація харчування учасників (сніданок, обід вечеря, кава-пауза протягом дня)</w:t>
            </w:r>
          </w:p>
          <w:p w14:paraId="1CEFCF05" w14:textId="0B5AE67F" w:rsidR="00BF6FD2" w:rsidRPr="00896B31" w:rsidRDefault="00697496" w:rsidP="00BF6FD2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організація повернення вартості квитків учасникам</w:t>
            </w:r>
            <w:r w:rsidR="00C53CE4" w:rsidRPr="00C53CE4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="00BF6FD2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847" w14:textId="3FC8B946" w:rsidR="00662C87" w:rsidRPr="00896B31" w:rsidRDefault="00662C87" w:rsidP="0098154D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Додаток № </w:t>
            </w:r>
            <w:r w:rsidR="0098154D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3</w:t>
            </w: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 до Тендерної пропозиції: «Прайс-лист </w:t>
            </w:r>
            <w:r w:rsidR="000B4787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на додаткові ресурси»</w:t>
            </w:r>
          </w:p>
        </w:tc>
      </w:tr>
    </w:tbl>
    <w:p w14:paraId="66E1C285" w14:textId="77777777" w:rsidR="00FC4ABA" w:rsidRPr="00896B31" w:rsidRDefault="00FC4ABA" w:rsidP="00682751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7DF043BA" w14:textId="77777777" w:rsidR="0056486C" w:rsidRPr="00896B31" w:rsidRDefault="00D960FB" w:rsidP="0056486C">
      <w:pPr>
        <w:jc w:val="both"/>
        <w:rPr>
          <w:rFonts w:ascii="Calibri" w:hAnsi="Calibri" w:cs="Calibri"/>
          <w:b/>
          <w:color w:val="FF0000"/>
          <w:sz w:val="20"/>
          <w:szCs w:val="20"/>
          <w:lang w:val="uk-UA"/>
        </w:rPr>
      </w:pPr>
      <w:r w:rsidRPr="00896B31">
        <w:rPr>
          <w:rFonts w:ascii="Calibri" w:hAnsi="Calibri" w:cs="Calibri"/>
          <w:b/>
          <w:color w:val="FF0000"/>
          <w:sz w:val="18"/>
          <w:szCs w:val="18"/>
          <w:lang w:val="uk-UA"/>
        </w:rPr>
        <w:t xml:space="preserve">* До оцінювання згідно критеріям оцінки допускаються тендерні пропозиції, які відповідатимуть обов’язковим технічним та кваліфікаційним вимогам. Невідповідність хоча б одній з технічних та технічних вимог тендерної пропозиції учасника </w:t>
      </w:r>
      <w:r w:rsidRPr="00896B31">
        <w:rPr>
          <w:rFonts w:ascii="Calibri" w:hAnsi="Calibri" w:cs="Calibri"/>
          <w:b/>
          <w:color w:val="FF0000"/>
          <w:sz w:val="18"/>
          <w:szCs w:val="18"/>
          <w:u w:val="single"/>
          <w:lang w:val="uk-UA"/>
        </w:rPr>
        <w:t>призводить до автоматичної повної дискваліфікації такої тендерної пропозиції</w:t>
      </w:r>
      <w:r w:rsidRPr="00896B31">
        <w:rPr>
          <w:rFonts w:ascii="Calibri" w:hAnsi="Calibri" w:cs="Calibri"/>
          <w:b/>
          <w:color w:val="FF0000"/>
          <w:sz w:val="18"/>
          <w:szCs w:val="18"/>
          <w:lang w:val="uk-UA"/>
        </w:rPr>
        <w:t>.</w:t>
      </w:r>
    </w:p>
    <w:p w14:paraId="0563277E" w14:textId="77777777" w:rsidR="00D960FB" w:rsidRPr="00896B31" w:rsidRDefault="00D960FB" w:rsidP="0056486C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47EEB60F" w14:textId="77777777" w:rsidR="0056486C" w:rsidRPr="00896B31" w:rsidRDefault="00FC4ABA" w:rsidP="0056486C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4</w:t>
      </w:r>
      <w:r w:rsidR="00827675" w:rsidRPr="00896B31">
        <w:rPr>
          <w:rFonts w:ascii="Tahoma" w:hAnsi="Tahoma" w:cs="Tahoma"/>
          <w:b/>
          <w:sz w:val="20"/>
          <w:szCs w:val="20"/>
          <w:lang w:val="uk-UA"/>
        </w:rPr>
        <w:t xml:space="preserve">. </w:t>
      </w:r>
      <w:r w:rsidR="0056486C" w:rsidRPr="00896B31">
        <w:rPr>
          <w:rFonts w:ascii="Tahoma" w:hAnsi="Tahoma" w:cs="Tahoma"/>
          <w:b/>
          <w:sz w:val="20"/>
          <w:szCs w:val="20"/>
          <w:lang w:val="uk-UA"/>
        </w:rPr>
        <w:t>Критерії оцінки тендерних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073"/>
        <w:gridCol w:w="1140"/>
        <w:gridCol w:w="3827"/>
      </w:tblGrid>
      <w:tr w:rsidR="00FC4ABA" w:rsidRPr="00896B31" w14:paraId="3FBF650E" w14:textId="77777777" w:rsidTr="00EC2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CB3A83" w14:textId="77777777" w:rsidR="00FC4ABA" w:rsidRPr="00896B31" w:rsidRDefault="00FC4ABA" w:rsidP="00EC22FE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E907DFF" w14:textId="77777777" w:rsidR="00FC4ABA" w:rsidRPr="00896B31" w:rsidRDefault="00FC4ABA" w:rsidP="00662C87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Критерій оцінки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3E6145" w14:textId="77777777" w:rsidR="00FC4ABA" w:rsidRPr="00896B31" w:rsidRDefault="00FC4ABA" w:rsidP="00EC22FE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Ваговий коефіцієнт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C2698C5" w14:textId="77777777" w:rsidR="00FC4ABA" w:rsidRPr="00896B31" w:rsidRDefault="00FC4ABA" w:rsidP="00EC22FE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критерію</w:t>
            </w:r>
          </w:p>
        </w:tc>
      </w:tr>
      <w:tr w:rsidR="00FC4ABA" w:rsidRPr="00896B31" w14:paraId="592BDF28" w14:textId="77777777" w:rsidTr="00EC22FE">
        <w:trPr>
          <w:trHeight w:val="8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995D" w14:textId="77777777" w:rsidR="00FC4ABA" w:rsidRPr="00896B31" w:rsidRDefault="00FC4ABA" w:rsidP="00EC22FE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F01" w14:textId="77777777" w:rsidR="00FC4ABA" w:rsidRPr="00896B31" w:rsidRDefault="00FC4ABA" w:rsidP="00EC22FE">
            <w:pPr>
              <w:spacing w:line="248" w:lineRule="exact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Ві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д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со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т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 xml:space="preserve">ок 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к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о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мі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с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ій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н</w:t>
            </w:r>
            <w:r w:rsidRPr="00896B31">
              <w:rPr>
                <w:rFonts w:ascii="Tahoma" w:eastAsia="Arial" w:hAnsi="Tahoma" w:cs="Tahoma"/>
                <w:spacing w:val="2"/>
                <w:sz w:val="20"/>
                <w:szCs w:val="20"/>
                <w:lang w:val="uk-UA"/>
              </w:rPr>
              <w:t>и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/>
              </w:rPr>
              <w:t>х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 xml:space="preserve"> в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и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т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р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ат</w:t>
            </w:r>
            <w:r w:rsidRPr="00896B31">
              <w:rPr>
                <w:rFonts w:ascii="Tahoma" w:eastAsia="Arial" w:hAnsi="Tahoma" w:cs="Tahoma"/>
                <w:spacing w:val="26"/>
                <w:sz w:val="20"/>
                <w:szCs w:val="20"/>
                <w:lang w:val="uk-UA"/>
              </w:rPr>
              <w:t xml:space="preserve"> 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П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о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ст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а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чальн</w:t>
            </w:r>
            <w:r w:rsidRPr="00896B31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ик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а за на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д</w:t>
            </w:r>
            <w:r w:rsidRPr="00896B31">
              <w:rPr>
                <w:rFonts w:ascii="Tahoma" w:eastAsia="Arial" w:hAnsi="Tahoma" w:cs="Tahoma"/>
                <w:spacing w:val="-3"/>
                <w:sz w:val="20"/>
                <w:szCs w:val="20"/>
                <w:lang w:val="uk-UA"/>
              </w:rPr>
              <w:t>а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н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н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я пос</w:t>
            </w:r>
            <w:r w:rsidRPr="00896B31">
              <w:rPr>
                <w:rFonts w:ascii="Tahoma" w:eastAsia="Arial" w:hAnsi="Tahoma" w:cs="Tahoma"/>
                <w:spacing w:val="1"/>
                <w:sz w:val="20"/>
                <w:szCs w:val="20"/>
                <w:lang w:val="uk-UA"/>
              </w:rPr>
              <w:t>л</w:t>
            </w:r>
            <w:r w:rsidRPr="00896B31">
              <w:rPr>
                <w:rFonts w:ascii="Tahoma" w:eastAsia="Arial" w:hAnsi="Tahoma" w:cs="Tahoma"/>
                <w:spacing w:val="-2"/>
                <w:sz w:val="20"/>
                <w:szCs w:val="20"/>
                <w:lang w:val="uk-UA"/>
              </w:rPr>
              <w:t>у</w:t>
            </w: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E85F" w14:textId="77777777" w:rsidR="00FC4ABA" w:rsidRPr="00896B31" w:rsidRDefault="00FC4ABA" w:rsidP="00EC22FE">
            <w:pPr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96B31">
              <w:rPr>
                <w:rFonts w:ascii="Tahoma" w:hAnsi="Tahoma" w:cs="Tahoma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AA4" w14:textId="77777777" w:rsidR="00FC4ABA" w:rsidRPr="00896B31" w:rsidRDefault="00FC4ABA" w:rsidP="00EC22FE">
            <w:pPr>
              <w:ind w:left="-70" w:firstLine="70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Arial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FC4ABA" w:rsidRPr="00896B31" w14:paraId="395894BA" w14:textId="77777777" w:rsidTr="00EC22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E99C" w14:textId="77777777" w:rsidR="00FC4ABA" w:rsidRPr="00BF6FD2" w:rsidRDefault="00FC4ABA" w:rsidP="00EC22FE">
            <w:pPr>
              <w:rPr>
                <w:rFonts w:ascii="Tahoma" w:eastAsia="Arial Unicode MS" w:hAnsi="Tahoma" w:cs="Tahoma"/>
                <w:sz w:val="20"/>
                <w:szCs w:val="20"/>
                <w:highlight w:val="yellow"/>
                <w:lang w:val="uk-UA"/>
              </w:rPr>
            </w:pPr>
            <w:r w:rsidRPr="000F18D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49E" w14:textId="684B08E7" w:rsidR="00FC4ABA" w:rsidRPr="000F18D2" w:rsidRDefault="00926DC0" w:rsidP="00926DC0">
            <w:pPr>
              <w:spacing w:line="248" w:lineRule="exact"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</w:pPr>
            <w:r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Досвід, кількість проведених заходів</w:t>
            </w:r>
            <w:r w:rsidR="00A103A0">
              <w:rPr>
                <w:rFonts w:ascii="Tahoma" w:eastAsia="Arial" w:hAnsi="Tahoma" w:cs="Tahoma"/>
                <w:spacing w:val="-1"/>
                <w:sz w:val="20"/>
                <w:szCs w:val="20"/>
                <w:lang w:val="uk-UA"/>
              </w:rPr>
              <w:t>, рекомендації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84B0" w14:textId="77777777" w:rsidR="00FC4ABA" w:rsidRPr="000F18D2" w:rsidRDefault="00FC4ABA" w:rsidP="00EC22FE">
            <w:pPr>
              <w:ind w:left="284" w:hanging="284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0F18D2">
              <w:rPr>
                <w:rFonts w:ascii="Tahoma" w:hAnsi="Tahoma" w:cs="Tahoma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08B7" w14:textId="77777777" w:rsidR="00926DC0" w:rsidRPr="00926DC0" w:rsidRDefault="00926DC0" w:rsidP="00926DC0">
            <w:pPr>
              <w:ind w:left="-14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>Додаток № 1 до Тендерної пропозиції: «Референс-лист, що включає перелік корпоративних клієнтів з телефонами контактних осіб».</w:t>
            </w:r>
          </w:p>
          <w:p w14:paraId="271059FA" w14:textId="23FF40AE" w:rsidR="00FC4ABA" w:rsidRPr="000F18D2" w:rsidRDefault="00926DC0" w:rsidP="00926DC0">
            <w:pPr>
              <w:ind w:left="-14"/>
              <w:jc w:val="both"/>
              <w:rPr>
                <w:rFonts w:ascii="Tahoma" w:eastAsia="Arial" w:hAnsi="Tahoma" w:cs="Tahoma"/>
                <w:sz w:val="20"/>
                <w:szCs w:val="20"/>
                <w:lang w:val="uk-UA"/>
              </w:rPr>
            </w:pPr>
            <w:r w:rsidRPr="00926DC0">
              <w:rPr>
                <w:rFonts w:ascii="Tahoma" w:eastAsia="Arial" w:hAnsi="Tahoma" w:cs="Tahoma"/>
                <w:sz w:val="20"/>
                <w:szCs w:val="20"/>
                <w:lang w:val="uk-UA"/>
              </w:rPr>
              <w:t>Додаток № 2 до Тендерної пропозиції: «Перелік та кількість проведених заходів у 2016 р.».</w:t>
            </w:r>
          </w:p>
        </w:tc>
      </w:tr>
    </w:tbl>
    <w:p w14:paraId="25AC5D9C" w14:textId="77777777" w:rsidR="002B7EEB" w:rsidRPr="00896B31" w:rsidRDefault="002B7EEB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608FE2D7" w14:textId="77777777" w:rsidR="00662C87" w:rsidRPr="00896B31" w:rsidRDefault="00662C87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0AFE42A7" w14:textId="77777777" w:rsidR="00662C87" w:rsidRPr="00896B31" w:rsidRDefault="00662C87" w:rsidP="00CE3C8A">
      <w:pPr>
        <w:pStyle w:val="ac"/>
        <w:spacing w:before="0" w:beforeAutospacing="0" w:after="0" w:afterAutospacing="0"/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Додаткова інформація (заповнюється у разі необхідності):</w:t>
      </w:r>
    </w:p>
    <w:p w14:paraId="574FAD66" w14:textId="77777777" w:rsidR="00662C87" w:rsidRPr="00896B31" w:rsidRDefault="00662C87" w:rsidP="00662C87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Учасник конкурсних торгів обов’язково повинен додатково надавати інформацію у відповідності до додатків, що зазначені в технічних та кваліфікаційних вимогах;</w:t>
      </w:r>
    </w:p>
    <w:p w14:paraId="26BC0CC1" w14:textId="77777777" w:rsidR="00662C87" w:rsidRPr="00896B31" w:rsidRDefault="00662C87" w:rsidP="00662C87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Вартість послуг виконавця визначається без ПДВ. </w:t>
      </w:r>
    </w:p>
    <w:p w14:paraId="174214C5" w14:textId="77777777" w:rsidR="00662C87" w:rsidRPr="00896B31" w:rsidRDefault="00662C87" w:rsidP="00662C87">
      <w:pPr>
        <w:pStyle w:val="af6"/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Для фінансового звітування за проведені заходи виконавець повинен надавати копії первинної документації про розрахунки з третіми сторонами, а саме: </w:t>
      </w:r>
    </w:p>
    <w:p w14:paraId="5D237613" w14:textId="45C4EC51" w:rsidR="00662C87" w:rsidRPr="00896B31" w:rsidRDefault="00662C87" w:rsidP="00662C87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рахунок-фактура від готелів/баз; платіжне доручення; акт виконання робіт між готелем/базою та контрагентом; рахунок та /або видаткова накладна на закупів</w:t>
      </w:r>
      <w:r w:rsidR="000316D9">
        <w:rPr>
          <w:rFonts w:ascii="Tahoma" w:hAnsi="Tahoma" w:cs="Tahoma"/>
          <w:sz w:val="20"/>
          <w:szCs w:val="20"/>
          <w:lang w:val="uk-UA"/>
        </w:rPr>
        <w:t>лю канцелярських товарів; прайс-</w:t>
      </w:r>
      <w:r w:rsidRPr="00896B31">
        <w:rPr>
          <w:rFonts w:ascii="Tahoma" w:hAnsi="Tahoma" w:cs="Tahoma"/>
          <w:sz w:val="20"/>
          <w:szCs w:val="20"/>
          <w:lang w:val="uk-UA"/>
        </w:rPr>
        <w:t>листи на харчування (кава-паузи, обіди), якщо організація відбувалась к</w:t>
      </w:r>
      <w:r w:rsidR="000316D9">
        <w:rPr>
          <w:rFonts w:ascii="Tahoma" w:hAnsi="Tahoma" w:cs="Tahoma"/>
          <w:sz w:val="20"/>
          <w:szCs w:val="20"/>
          <w:lang w:val="uk-UA"/>
        </w:rPr>
        <w:t>онтрагентом; прайс-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лист на технічне та </w:t>
      </w:r>
      <w:r w:rsidRPr="00896B31">
        <w:rPr>
          <w:rFonts w:ascii="Tahoma" w:hAnsi="Tahoma" w:cs="Tahoma"/>
          <w:sz w:val="20"/>
          <w:szCs w:val="20"/>
          <w:lang w:val="uk-UA"/>
        </w:rPr>
        <w:lastRenderedPageBreak/>
        <w:t>транспортне забезпечення (техніка була надана в оренду контрагентом, тренінг відбувався за містом); оригінали проїзних документів учасників (квитки).</w:t>
      </w:r>
    </w:p>
    <w:p w14:paraId="34758CB2" w14:textId="77777777" w:rsidR="00662C87" w:rsidRPr="00896B31" w:rsidRDefault="00662C87" w:rsidP="00662C87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Даний перелік не є вичерпним, вимоги до первинної документації можуть змінюватись залежно від специфіки заходів.</w:t>
      </w:r>
    </w:p>
    <w:p w14:paraId="48C2126A" w14:textId="77777777" w:rsidR="00224EE8" w:rsidRPr="00703657" w:rsidRDefault="00662C87" w:rsidP="00224EE8">
      <w:pPr>
        <w:pStyle w:val="af6"/>
        <w:numPr>
          <w:ilvl w:val="0"/>
          <w:numId w:val="13"/>
        </w:numPr>
        <w:tabs>
          <w:tab w:val="left" w:pos="426"/>
          <w:tab w:val="left" w:pos="709"/>
        </w:tabs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703657">
        <w:rPr>
          <w:rFonts w:ascii="Tahoma" w:hAnsi="Tahoma" w:cs="Tahoma"/>
          <w:sz w:val="20"/>
          <w:szCs w:val="20"/>
          <w:lang w:val="uk-UA"/>
        </w:rPr>
        <w:t xml:space="preserve">Планується, що буде обрано декілька компаній, які надають послуги з матеріально-технічного забезпечення заходів, між якими будуть проводитися внутрішні тендери на підставі технічного завдання (ТЗ) для конкретного заходу. </w:t>
      </w:r>
    </w:p>
    <w:p w14:paraId="380E945D" w14:textId="25E2584D" w:rsidR="00662C87" w:rsidRPr="00224EE8" w:rsidRDefault="00224EE8" w:rsidP="00224EE8">
      <w:pPr>
        <w:tabs>
          <w:tab w:val="left" w:pos="426"/>
          <w:tab w:val="left" w:pos="709"/>
        </w:tabs>
        <w:ind w:left="-142"/>
        <w:jc w:val="both"/>
        <w:rPr>
          <w:rFonts w:ascii="Tahoma" w:hAnsi="Tahoma" w:cs="Tahoma"/>
          <w:sz w:val="20"/>
          <w:szCs w:val="20"/>
          <w:lang w:val="uk-UA"/>
        </w:rPr>
      </w:pPr>
      <w:r w:rsidRPr="00274634">
        <w:rPr>
          <w:rFonts w:ascii="Tahoma" w:hAnsi="Tahoma" w:cs="Tahoma"/>
          <w:color w:val="000000"/>
          <w:spacing w:val="-4"/>
          <w:sz w:val="20"/>
          <w:szCs w:val="20"/>
        </w:rPr>
        <w:tab/>
      </w:r>
      <w:r w:rsidR="00FC181F" w:rsidRPr="00224EE8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="00FC181F" w:rsidRPr="00224EE8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="00662C87" w:rsidRPr="00224EE8">
        <w:rPr>
          <w:rFonts w:ascii="Tahoma" w:hAnsi="Tahoma" w:cs="Tahoma"/>
          <w:sz w:val="20"/>
          <w:szCs w:val="20"/>
          <w:lang w:val="uk-UA"/>
        </w:rPr>
        <w:t>залишає за собою право в момент визначення переможця тендеру рекомендувати переможцю збільшити або зменшити на 15% обсяг послуг з відповідною зміною ціни або інших умов тендерної пропозиції.</w:t>
      </w:r>
    </w:p>
    <w:p w14:paraId="225E7DE4" w14:textId="77777777" w:rsidR="00662C87" w:rsidRPr="00896B31" w:rsidRDefault="00662C87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77625118" w14:textId="77777777" w:rsidR="00224EE8" w:rsidRDefault="00224EE8" w:rsidP="00CE3C8A">
      <w:pPr>
        <w:jc w:val="center"/>
        <w:outlineLvl w:val="0"/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</w:pPr>
    </w:p>
    <w:p w14:paraId="11CDFEBB" w14:textId="77777777" w:rsidR="00224EE8" w:rsidRDefault="00224EE8" w:rsidP="00CE3C8A">
      <w:pPr>
        <w:jc w:val="center"/>
        <w:outlineLvl w:val="0"/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</w:pPr>
    </w:p>
    <w:p w14:paraId="1E105FF5" w14:textId="77777777" w:rsidR="001B59A1" w:rsidRPr="00896B31" w:rsidRDefault="001B59A1" w:rsidP="00CE3C8A">
      <w:pPr>
        <w:jc w:val="center"/>
        <w:outlineLvl w:val="0"/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</w:pPr>
      <w:r w:rsidRPr="00896B31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 xml:space="preserve">ТЕНДЕРНА ПРОПОЗИЦІЯ МАЄ </w:t>
      </w:r>
      <w:r w:rsidR="00CE5B49" w:rsidRPr="00896B31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>ВКЛЮЧАТИ В СЕБЕ</w:t>
      </w:r>
      <w:r w:rsidRPr="00896B31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>:</w:t>
      </w:r>
    </w:p>
    <w:p w14:paraId="753E0275" w14:textId="77777777" w:rsidR="0087454E" w:rsidRPr="00896B31" w:rsidRDefault="0087454E" w:rsidP="00F74345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14:paraId="66F13524" w14:textId="77777777" w:rsidR="001B59A1" w:rsidRPr="00896B31" w:rsidRDefault="00CE5B49" w:rsidP="00D501C6">
      <w:pPr>
        <w:pStyle w:val="af6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Заповнену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форм</w:t>
      </w:r>
      <w:r w:rsidRPr="00896B31">
        <w:rPr>
          <w:rFonts w:ascii="Tahoma" w:hAnsi="Tahoma" w:cs="Tahoma"/>
          <w:sz w:val="20"/>
          <w:szCs w:val="20"/>
          <w:lang w:val="uk-UA"/>
        </w:rPr>
        <w:t>у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Тендерної пропозиції </w:t>
      </w:r>
      <w:r w:rsidR="001B59A1" w:rsidRPr="00896B31">
        <w:rPr>
          <w:rFonts w:ascii="Tahoma" w:hAnsi="Tahoma" w:cs="Tahoma"/>
          <w:i/>
          <w:sz w:val="20"/>
          <w:szCs w:val="20"/>
          <w:lang w:val="uk-UA"/>
        </w:rPr>
        <w:t>(форма додається)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. </w:t>
      </w:r>
    </w:p>
    <w:p w14:paraId="4E90A2FC" w14:textId="77777777" w:rsidR="00FC4ABA" w:rsidRPr="00896B31" w:rsidRDefault="00FC4ABA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«Референс-лист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 xml:space="preserve"> Додаток № 1</w:t>
      </w:r>
      <w:r w:rsidRPr="00896B31">
        <w:rPr>
          <w:rFonts w:ascii="Tahoma" w:hAnsi="Tahoma" w:cs="Tahoma"/>
          <w:sz w:val="20"/>
          <w:szCs w:val="20"/>
          <w:lang w:val="uk-UA"/>
        </w:rPr>
        <w:t>, що включає перелік корпоративних клієнтів з телефонами контактних осіб».</w:t>
      </w:r>
    </w:p>
    <w:p w14:paraId="1DC96F85" w14:textId="77777777" w:rsidR="00FC4ABA" w:rsidRPr="00896B31" w:rsidRDefault="00FC4ABA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Рекомендаційні листи (не менше трьох листів) від корпоративних клієнтів за 2016 роки. </w:t>
      </w:r>
    </w:p>
    <w:p w14:paraId="53C81037" w14:textId="77777777" w:rsidR="00FC4ABA" w:rsidRPr="00896B31" w:rsidRDefault="00662C87" w:rsidP="00FC4ABA">
      <w:pPr>
        <w:numPr>
          <w:ilvl w:val="0"/>
          <w:numId w:val="1"/>
        </w:numPr>
        <w:jc w:val="both"/>
        <w:rPr>
          <w:rFonts w:ascii="Tahoma" w:eastAsia="Arial Unicode MS" w:hAnsi="Tahoma" w:cs="Tahoma"/>
          <w:sz w:val="20"/>
          <w:szCs w:val="20"/>
          <w:lang w:val="uk-UA"/>
        </w:rPr>
      </w:pP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Додаток №2 </w:t>
      </w:r>
      <w:r w:rsidR="00FC4ABA" w:rsidRPr="00896B31">
        <w:rPr>
          <w:rFonts w:ascii="Tahoma" w:eastAsia="Arial Unicode MS" w:hAnsi="Tahoma" w:cs="Tahoma"/>
          <w:sz w:val="20"/>
          <w:szCs w:val="20"/>
          <w:lang w:val="uk-UA"/>
        </w:rPr>
        <w:t>Перелік та кількість проведених заходів у 2016 роках».</w:t>
      </w:r>
    </w:p>
    <w:p w14:paraId="3D22F216" w14:textId="77777777" w:rsidR="00FC4ABA" w:rsidRPr="00896B31" w:rsidRDefault="00FC4ABA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eastAsia="Arial Unicode MS" w:hAnsi="Tahoma" w:cs="Tahoma"/>
          <w:sz w:val="20"/>
          <w:szCs w:val="20"/>
          <w:lang w:val="uk-UA"/>
        </w:rPr>
        <w:t>Листи – подяки/підтвердження про проведені у 2016 роках заходи від 3 клієнтів з зазначенням контактної особи.</w:t>
      </w:r>
    </w:p>
    <w:p w14:paraId="00AE033F" w14:textId="77777777" w:rsidR="00FC4ABA" w:rsidRPr="00896B31" w:rsidRDefault="00FC4ABA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Додаток № </w:t>
      </w:r>
      <w:r w:rsidR="00662C87" w:rsidRPr="00896B31">
        <w:rPr>
          <w:rFonts w:ascii="Tahoma" w:eastAsia="Arial Unicode MS" w:hAnsi="Tahoma" w:cs="Tahoma"/>
          <w:sz w:val="20"/>
          <w:szCs w:val="20"/>
          <w:lang w:val="uk-UA"/>
        </w:rPr>
        <w:t>3</w:t>
      </w: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 до Тендерної пропозиції</w:t>
      </w:r>
      <w:r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 xml:space="preserve"> «Середньозважений відсоток»</w:t>
      </w:r>
    </w:p>
    <w:p w14:paraId="2EBF45C7" w14:textId="6B8A43CB" w:rsidR="00FC4ABA" w:rsidRPr="00896B31" w:rsidRDefault="00662C87" w:rsidP="00FC4AB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Додаток № 4 </w:t>
      </w:r>
      <w:r w:rsidR="00FC4ABA" w:rsidRPr="00896B31">
        <w:rPr>
          <w:rFonts w:ascii="Tahoma" w:eastAsia="Arial Unicode MS" w:hAnsi="Tahoma" w:cs="Tahoma"/>
          <w:sz w:val="20"/>
          <w:szCs w:val="20"/>
          <w:lang w:val="uk-UA"/>
        </w:rPr>
        <w:t xml:space="preserve">«Прайс-лист </w:t>
      </w:r>
      <w:r w:rsidR="00A11E5C">
        <w:rPr>
          <w:rFonts w:ascii="Tahoma" w:eastAsia="Arial Unicode MS" w:hAnsi="Tahoma" w:cs="Tahoma"/>
          <w:sz w:val="20"/>
          <w:szCs w:val="20"/>
          <w:lang w:val="uk-UA"/>
        </w:rPr>
        <w:t>на додаткові ресурси</w:t>
      </w:r>
      <w:r w:rsidR="00FC4ABA" w:rsidRPr="00896B31">
        <w:rPr>
          <w:rFonts w:ascii="Tahoma" w:eastAsia="Arial Unicode MS" w:hAnsi="Tahoma" w:cs="Tahoma"/>
          <w:sz w:val="20"/>
          <w:szCs w:val="20"/>
          <w:lang w:val="uk-UA"/>
        </w:rPr>
        <w:t>»</w:t>
      </w:r>
    </w:p>
    <w:p w14:paraId="7AE4BE7B" w14:textId="77777777" w:rsidR="00176E28" w:rsidRPr="00896B31" w:rsidRDefault="00176E28" w:rsidP="00176E28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Лист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>и</w:t>
      </w:r>
      <w:r w:rsidRPr="00896B31">
        <w:rPr>
          <w:rFonts w:ascii="Tahoma" w:hAnsi="Tahoma" w:cs="Tahoma"/>
          <w:sz w:val="20"/>
          <w:szCs w:val="20"/>
          <w:lang w:val="uk-UA"/>
        </w:rPr>
        <w:t>-підтвердження від провайдер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>ів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компанії з зазначенням знижок або ексклюзивних відносин у відповідних готелях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 xml:space="preserve"> (у разі наявності)</w:t>
      </w:r>
      <w:r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346C5C33" w14:textId="77777777" w:rsidR="00176E28" w:rsidRPr="00896B31" w:rsidRDefault="00662C87" w:rsidP="00176E28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Офіційні лист-підтвердження від готелів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 xml:space="preserve"> про відповідні знижки або ексклюзивні відносини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(у разі наявності)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1F68050B" w14:textId="12641E89" w:rsidR="008E2AE5" w:rsidRPr="00A153BD" w:rsidRDefault="00F606CB" w:rsidP="00A153BD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A153BD">
        <w:rPr>
          <w:rFonts w:ascii="Tahoma" w:hAnsi="Tahoma" w:cs="Tahoma"/>
          <w:sz w:val="20"/>
          <w:szCs w:val="20"/>
          <w:lang w:val="uk-UA"/>
        </w:rPr>
        <w:t>Сканко</w:t>
      </w:r>
      <w:r w:rsidR="008E2AE5" w:rsidRPr="00A153BD">
        <w:rPr>
          <w:rFonts w:ascii="Tahoma" w:hAnsi="Tahoma" w:cs="Tahoma"/>
          <w:sz w:val="20"/>
          <w:szCs w:val="20"/>
          <w:lang w:val="uk-UA"/>
        </w:rPr>
        <w:t>пія Статуту і витягу з протоколу про призначення керівника (для юридичних осіб)</w:t>
      </w:r>
      <w:r w:rsidR="00B60EF8" w:rsidRPr="00274634">
        <w:rPr>
          <w:rFonts w:ascii="Tahoma" w:hAnsi="Tahoma" w:cs="Tahoma"/>
          <w:sz w:val="20"/>
          <w:szCs w:val="20"/>
          <w:lang w:val="ru-RU"/>
        </w:rPr>
        <w:t>.</w:t>
      </w:r>
    </w:p>
    <w:p w14:paraId="404FB0F9" w14:textId="77777777" w:rsidR="00AB02CD" w:rsidRPr="00896B31" w:rsidRDefault="00AB02CD" w:rsidP="00AB02CD">
      <w:pPr>
        <w:pStyle w:val="af1"/>
        <w:autoSpaceDE/>
        <w:spacing w:after="0"/>
        <w:ind w:left="567"/>
        <w:rPr>
          <w:rFonts w:ascii="Tahoma" w:hAnsi="Tahoma" w:cs="Tahoma"/>
          <w:lang w:val="uk-UA"/>
        </w:rPr>
      </w:pPr>
    </w:p>
    <w:p w14:paraId="4C451F17" w14:textId="77777777" w:rsidR="001B59A1" w:rsidRPr="00896B31" w:rsidRDefault="001B59A1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ПОСАДОВІ ОСОБИ ЗАМОВНИКА, УПОВНОВАЖЕНІ ЗДІЙСНЮВАТИ ЗВ'ЯЗОК З УЧАСНИКАМИ ТОРГІВ</w:t>
      </w:r>
    </w:p>
    <w:p w14:paraId="12C69F02" w14:textId="6378E022" w:rsidR="001B59A1" w:rsidRPr="00274634" w:rsidRDefault="001B59A1" w:rsidP="001B59A1">
      <w:pPr>
        <w:jc w:val="both"/>
        <w:rPr>
          <w:rFonts w:ascii="Tahoma" w:hAnsi="Tahoma" w:cs="Tahoma"/>
          <w:b/>
          <w:sz w:val="20"/>
          <w:szCs w:val="20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Додаткову інформацію можна отримати за телефонами:</w:t>
      </w:r>
      <w:r w:rsidR="004C4DD6" w:rsidRPr="004C4DD6">
        <w:t xml:space="preserve"> </w:t>
      </w:r>
      <w:r w:rsidR="004C4DD6" w:rsidRPr="004C4DD6">
        <w:rPr>
          <w:rFonts w:ascii="Tahoma" w:eastAsia="Calibri" w:hAnsi="Tahoma" w:cs="Tahoma"/>
          <w:sz w:val="20"/>
          <w:szCs w:val="20"/>
          <w:lang w:val="uk-UA" w:eastAsia="en-US"/>
        </w:rPr>
        <w:t>+38 097 398 46 38</w:t>
      </w:r>
      <w:r w:rsidRPr="00896B31">
        <w:rPr>
          <w:rFonts w:ascii="Tahoma" w:hAnsi="Tahoma" w:cs="Tahoma"/>
          <w:sz w:val="20"/>
          <w:szCs w:val="20"/>
          <w:lang w:val="uk-UA"/>
        </w:rPr>
        <w:t>,</w:t>
      </w:r>
      <w:r w:rsidR="005924D2" w:rsidRPr="00896B31">
        <w:rPr>
          <w:rFonts w:ascii="Tahoma" w:hAnsi="Tahoma" w:cs="Tahoma"/>
          <w:sz w:val="20"/>
          <w:szCs w:val="20"/>
        </w:rPr>
        <w:t xml:space="preserve"> </w:t>
      </w:r>
      <w:r w:rsidR="004C4DD6">
        <w:rPr>
          <w:rFonts w:ascii="Tahoma" w:hAnsi="Tahoma" w:cs="Tahoma"/>
          <w:sz w:val="20"/>
          <w:szCs w:val="20"/>
          <w:lang w:val="uk-UA"/>
        </w:rPr>
        <w:t>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4C4DD6">
        <w:rPr>
          <w:rFonts w:ascii="Tahoma" w:hAnsi="Tahoma" w:cs="Tahoma"/>
          <w:sz w:val="20"/>
          <w:szCs w:val="20"/>
          <w:lang w:val="uk-UA"/>
        </w:rPr>
        <w:t>асистента проекту Анатолія Котова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, е-mail: </w:t>
      </w:r>
      <w:hyperlink r:id="rId9" w:history="1">
        <w:r w:rsidR="004C4DD6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kotov</w:t>
        </w:r>
        <w:r w:rsidR="004C4DD6" w:rsidRPr="00916CDB">
          <w:rPr>
            <w:rStyle w:val="ad"/>
            <w:rFonts w:ascii="Tahoma" w:hAnsi="Tahoma" w:cs="Tahoma"/>
            <w:sz w:val="20"/>
            <w:szCs w:val="20"/>
          </w:rPr>
          <w:t>@</w:t>
        </w:r>
        <w:r w:rsidR="004C4DD6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ti</w:t>
        </w:r>
        <w:r w:rsidR="004C4DD6" w:rsidRPr="00916CDB">
          <w:rPr>
            <w:rStyle w:val="ad"/>
            <w:rFonts w:ascii="Tahoma" w:hAnsi="Tahoma" w:cs="Tahoma"/>
            <w:sz w:val="20"/>
            <w:szCs w:val="20"/>
          </w:rPr>
          <w:t>-</w:t>
        </w:r>
        <w:r w:rsidR="004C4DD6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ukraine</w:t>
        </w:r>
        <w:r w:rsidR="004C4DD6" w:rsidRPr="00916CDB">
          <w:rPr>
            <w:rStyle w:val="ad"/>
            <w:rFonts w:ascii="Tahoma" w:hAnsi="Tahoma" w:cs="Tahoma"/>
            <w:sz w:val="20"/>
            <w:szCs w:val="20"/>
          </w:rPr>
          <w:t>.</w:t>
        </w:r>
        <w:r w:rsidR="004C4DD6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org</w:t>
        </w:r>
      </w:hyperlink>
      <w:r w:rsidR="00A153BD" w:rsidRPr="00274634">
        <w:rPr>
          <w:rStyle w:val="ad"/>
          <w:rFonts w:ascii="Tahoma" w:hAnsi="Tahoma" w:cs="Tahoma"/>
          <w:color w:val="auto"/>
          <w:sz w:val="20"/>
          <w:szCs w:val="20"/>
          <w:u w:val="none"/>
        </w:rPr>
        <w:t>.</w:t>
      </w:r>
    </w:p>
    <w:p w14:paraId="68CEC78C" w14:textId="77777777" w:rsidR="00CC7379" w:rsidRPr="00896B31" w:rsidRDefault="00CC7379" w:rsidP="001B59A1">
      <w:pPr>
        <w:rPr>
          <w:rFonts w:ascii="Tahoma" w:hAnsi="Tahoma" w:cs="Tahoma"/>
          <w:b/>
          <w:sz w:val="20"/>
          <w:szCs w:val="20"/>
          <w:lang w:val="uk-UA"/>
        </w:rPr>
      </w:pPr>
    </w:p>
    <w:p w14:paraId="5FCA2C0F" w14:textId="77777777" w:rsidR="001B59A1" w:rsidRPr="00896B31" w:rsidRDefault="001B59A1" w:rsidP="00CE3C8A">
      <w:pPr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ПОРЯДОК ОТРИМАННЯ ТЕНДЕРНОЇ ДОКУМЕНТАЦІЇ</w:t>
      </w:r>
    </w:p>
    <w:p w14:paraId="6A09325C" w14:textId="49DA61A7" w:rsidR="001B59A1" w:rsidRPr="00896B31" w:rsidRDefault="001B59A1" w:rsidP="00CE3C8A">
      <w:pPr>
        <w:jc w:val="both"/>
        <w:outlineLvl w:val="0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Форм</w:t>
      </w:r>
      <w:r w:rsidR="00F606CB" w:rsidRPr="00896B31">
        <w:rPr>
          <w:rFonts w:ascii="Tahoma" w:hAnsi="Tahoma" w:cs="Tahoma"/>
          <w:sz w:val="20"/>
          <w:szCs w:val="20"/>
        </w:rPr>
        <w:t xml:space="preserve">а </w:t>
      </w:r>
      <w:r w:rsidR="00F606CB" w:rsidRPr="00896B31">
        <w:rPr>
          <w:rFonts w:ascii="Tahoma" w:hAnsi="Tahoma" w:cs="Tahoma"/>
          <w:sz w:val="20"/>
          <w:szCs w:val="20"/>
          <w:lang w:val="uk-UA"/>
        </w:rPr>
        <w:t xml:space="preserve">тендерної пропозиції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>додана до оголошення.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7DDDD75F" w14:textId="77777777" w:rsidR="001B59A1" w:rsidRPr="00896B31" w:rsidRDefault="001B59A1" w:rsidP="001B59A1">
      <w:pPr>
        <w:jc w:val="both"/>
        <w:rPr>
          <w:rFonts w:ascii="Tahoma" w:hAnsi="Tahoma" w:cs="Tahoma"/>
          <w:sz w:val="20"/>
          <w:szCs w:val="20"/>
          <w:lang w:val="uk-UA"/>
        </w:rPr>
      </w:pPr>
    </w:p>
    <w:p w14:paraId="429C638E" w14:textId="2A6D01BC" w:rsidR="001B59A1" w:rsidRPr="00896B31" w:rsidRDefault="001B59A1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Тендерні пропозиції надсилайте у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 xml:space="preserve">електронному </w:t>
      </w:r>
      <w:r w:rsidR="00D50120">
        <w:rPr>
          <w:rFonts w:ascii="Tahoma" w:hAnsi="Tahoma" w:cs="Tahoma"/>
          <w:sz w:val="20"/>
          <w:szCs w:val="20"/>
          <w:lang w:val="uk-UA"/>
        </w:rPr>
        <w:t xml:space="preserve">вигляді 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на адресу </w:t>
      </w:r>
      <w:hyperlink r:id="rId10" w:history="1">
        <w:r w:rsidR="00B275B8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kotov</w:t>
        </w:r>
        <w:r w:rsidR="00B275B8" w:rsidRPr="00916CDB">
          <w:rPr>
            <w:rStyle w:val="ad"/>
            <w:rFonts w:ascii="Tahoma" w:hAnsi="Tahoma" w:cs="Tahoma"/>
            <w:sz w:val="20"/>
            <w:szCs w:val="20"/>
          </w:rPr>
          <w:t>@</w:t>
        </w:r>
        <w:r w:rsidR="00B275B8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ti</w:t>
        </w:r>
        <w:r w:rsidR="00B275B8" w:rsidRPr="00916CDB">
          <w:rPr>
            <w:rStyle w:val="ad"/>
            <w:rFonts w:ascii="Tahoma" w:hAnsi="Tahoma" w:cs="Tahoma"/>
            <w:sz w:val="20"/>
            <w:szCs w:val="20"/>
          </w:rPr>
          <w:t>-</w:t>
        </w:r>
        <w:r w:rsidR="00B275B8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ukraine</w:t>
        </w:r>
        <w:r w:rsidR="00B275B8" w:rsidRPr="00916CDB">
          <w:rPr>
            <w:rStyle w:val="ad"/>
            <w:rFonts w:ascii="Tahoma" w:hAnsi="Tahoma" w:cs="Tahoma"/>
            <w:sz w:val="20"/>
            <w:szCs w:val="20"/>
          </w:rPr>
          <w:t>.</w:t>
        </w:r>
        <w:r w:rsidR="00B275B8" w:rsidRPr="00916CDB">
          <w:rPr>
            <w:rStyle w:val="ad"/>
            <w:rFonts w:ascii="Tahoma" w:hAnsi="Tahoma" w:cs="Tahoma"/>
            <w:sz w:val="20"/>
            <w:szCs w:val="20"/>
            <w:lang w:val="en-US"/>
          </w:rPr>
          <w:t>org</w:t>
        </w:r>
      </w:hyperlink>
      <w:r w:rsidR="00662734" w:rsidRPr="00274634">
        <w:rPr>
          <w:rFonts w:ascii="Tahoma" w:hAnsi="Tahoma" w:cs="Tahoma"/>
          <w:sz w:val="20"/>
          <w:szCs w:val="20"/>
        </w:rPr>
        <w:t xml:space="preserve"> </w:t>
      </w:r>
      <w:r w:rsidRPr="00896B31">
        <w:rPr>
          <w:rFonts w:ascii="Tahoma" w:hAnsi="Tahoma" w:cs="Tahoma"/>
          <w:sz w:val="20"/>
          <w:szCs w:val="20"/>
          <w:lang w:val="uk-UA"/>
        </w:rPr>
        <w:t>з приміткою</w:t>
      </w:r>
      <w:r w:rsidR="0058673D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58673D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«</w:t>
      </w:r>
      <w:r w:rsidR="00176E28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Тендер на закупівлю послуг з </w:t>
      </w:r>
      <w:r w:rsidR="00B275B8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організації та </w:t>
      </w:r>
      <w:r w:rsidR="00176E28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матеріально-технічного супроводу заходів</w:t>
      </w:r>
      <w:r w:rsidR="0058673D" w:rsidRPr="00896B3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»</w:t>
      </w:r>
      <w:r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04A404CC" w14:textId="77777777" w:rsidR="00940896" w:rsidRPr="00896B31" w:rsidRDefault="00940896" w:rsidP="001B59A1">
      <w:pPr>
        <w:rPr>
          <w:rFonts w:ascii="Tahoma" w:hAnsi="Tahoma" w:cs="Tahoma"/>
          <w:b/>
          <w:sz w:val="20"/>
          <w:szCs w:val="20"/>
          <w:lang w:val="uk-UA"/>
        </w:rPr>
      </w:pPr>
    </w:p>
    <w:p w14:paraId="2358C128" w14:textId="77777777" w:rsidR="001B59A1" w:rsidRPr="00896B31" w:rsidRDefault="001B59A1" w:rsidP="00CE3C8A">
      <w:pPr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ПРАВИЛА ОФОРМЛЕННЯ ТЕНДЕРНОЇ ПРОПОЗИЦІЇ УЧАСНИКА ТОРГІВ</w:t>
      </w:r>
    </w:p>
    <w:p w14:paraId="1EF6D41B" w14:textId="77777777" w:rsidR="00DF5CF2" w:rsidRPr="00896B31" w:rsidRDefault="00DF5CF2" w:rsidP="001B59A1">
      <w:pPr>
        <w:rPr>
          <w:rFonts w:ascii="Tahoma" w:hAnsi="Tahoma" w:cs="Tahoma"/>
          <w:b/>
          <w:sz w:val="20"/>
          <w:szCs w:val="20"/>
          <w:lang w:val="uk-UA"/>
        </w:rPr>
      </w:pPr>
    </w:p>
    <w:p w14:paraId="7E33C89A" w14:textId="32F66122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Учасники мають подавати пропозиції у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 xml:space="preserve">електронному 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вигляді. </w:t>
      </w:r>
    </w:p>
    <w:p w14:paraId="59A42480" w14:textId="65987E0A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Надані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>скан</w:t>
      </w:r>
      <w:r w:rsidRPr="00896B31">
        <w:rPr>
          <w:rFonts w:ascii="Tahoma" w:hAnsi="Tahoma" w:cs="Tahoma"/>
          <w:sz w:val="20"/>
          <w:szCs w:val="20"/>
          <w:lang w:val="uk-UA"/>
        </w:rPr>
        <w:t>копії документів мають бути розбірливими та якісними.</w:t>
      </w:r>
    </w:p>
    <w:p w14:paraId="0919324C" w14:textId="77777777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6AB4163" w14:textId="77777777" w:rsidR="001B59A1" w:rsidRPr="00896B31" w:rsidRDefault="001B59A1" w:rsidP="00D501C6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Строк дії тендерної пропози</w:t>
      </w:r>
      <w:r w:rsidR="006C5644" w:rsidRPr="00896B31">
        <w:rPr>
          <w:rFonts w:ascii="Tahoma" w:hAnsi="Tahoma" w:cs="Tahoma"/>
          <w:sz w:val="20"/>
          <w:szCs w:val="20"/>
          <w:lang w:val="uk-UA"/>
        </w:rPr>
        <w:t>ц</w:t>
      </w:r>
      <w:r w:rsidR="00100E7D" w:rsidRPr="00896B31">
        <w:rPr>
          <w:rFonts w:ascii="Tahoma" w:hAnsi="Tahoma" w:cs="Tahoma"/>
          <w:sz w:val="20"/>
          <w:szCs w:val="20"/>
          <w:lang w:val="uk-UA"/>
        </w:rPr>
        <w:t xml:space="preserve">ії повинен становити не менше 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30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днів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з дати 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>закінчення терміну надання пропозицій</w:t>
      </w:r>
      <w:r w:rsidRPr="00896B31">
        <w:rPr>
          <w:rFonts w:ascii="Tahoma" w:hAnsi="Tahoma" w:cs="Tahoma"/>
          <w:sz w:val="20"/>
          <w:szCs w:val="20"/>
          <w:lang w:val="uk-UA"/>
        </w:rPr>
        <w:t>.</w:t>
      </w:r>
    </w:p>
    <w:p w14:paraId="624069FF" w14:textId="016E17B2" w:rsidR="00AA3AB9" w:rsidRPr="00896B31" w:rsidRDefault="001B59A1" w:rsidP="00896B31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Тендерна пропозиція має бути отримана</w:t>
      </w:r>
      <w:r w:rsidR="0026273E" w:rsidRPr="00896B31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26273E" w:rsidRPr="00896B31">
        <w:rPr>
          <w:rFonts w:ascii="Tahoma" w:hAnsi="Tahoma" w:cs="Tahoma"/>
          <w:b/>
          <w:sz w:val="20"/>
          <w:szCs w:val="20"/>
          <w:lang w:val="en-US"/>
        </w:rPr>
        <w:t>TI</w:t>
      </w:r>
      <w:r w:rsidR="0026273E" w:rsidRPr="00896B31">
        <w:rPr>
          <w:rFonts w:ascii="Tahoma" w:hAnsi="Tahoma" w:cs="Tahoma"/>
          <w:b/>
          <w:sz w:val="20"/>
          <w:szCs w:val="20"/>
          <w:lang w:val="uk-UA"/>
        </w:rPr>
        <w:t xml:space="preserve"> Україна </w:t>
      </w:r>
      <w:r w:rsidRPr="00896B31">
        <w:rPr>
          <w:rFonts w:ascii="Tahoma" w:hAnsi="Tahoma" w:cs="Tahoma"/>
          <w:b/>
          <w:sz w:val="20"/>
          <w:szCs w:val="20"/>
          <w:lang w:val="uk-UA"/>
        </w:rPr>
        <w:t xml:space="preserve">у </w:t>
      </w:r>
      <w:r w:rsidR="00EF1CDB" w:rsidRPr="00896B31">
        <w:rPr>
          <w:rFonts w:ascii="Tahoma" w:hAnsi="Tahoma" w:cs="Tahoma"/>
          <w:b/>
          <w:sz w:val="20"/>
          <w:szCs w:val="20"/>
          <w:lang w:val="uk-UA"/>
        </w:rPr>
        <w:t>електронному вигляді.</w:t>
      </w:r>
    </w:p>
    <w:p w14:paraId="5C2F4429" w14:textId="564A2325" w:rsidR="001B59A1" w:rsidRPr="00896B31" w:rsidRDefault="001B59A1" w:rsidP="00AA3AB9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 У разі, якщо тендерна пропозиція надійшла після спливу кінцевого терміну приймання тендерних пропозицій, то </w:t>
      </w:r>
      <w:r w:rsidR="00EF1CDB" w:rsidRPr="00896B31">
        <w:rPr>
          <w:rFonts w:ascii="Tahoma" w:hAnsi="Tahoma" w:cs="Tahoma"/>
          <w:sz w:val="20"/>
          <w:szCs w:val="20"/>
          <w:lang w:val="uk-UA"/>
        </w:rPr>
        <w:t>така пропозиції не приймається до оцінки.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 </w:t>
      </w:r>
    </w:p>
    <w:p w14:paraId="1C56C1A6" w14:textId="77777777" w:rsidR="001B59A1" w:rsidRPr="00896B31" w:rsidRDefault="001B59A1" w:rsidP="00AA3AB9">
      <w:pPr>
        <w:numPr>
          <w:ilvl w:val="0"/>
          <w:numId w:val="2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 До участі у оцінці тендерних пропозицій Комітетом із затвердження закупівлі допускаються тендерні пропозиції, які повністю відповідають умовам Оголошення та формі тендерної пропозиції. </w:t>
      </w:r>
    </w:p>
    <w:p w14:paraId="56DBFEB9" w14:textId="77777777" w:rsidR="00C454A1" w:rsidRPr="00896B31" w:rsidRDefault="00C454A1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50C7F19F" w14:textId="29118866" w:rsidR="001B59A1" w:rsidRPr="00896B31" w:rsidRDefault="001B59A1" w:rsidP="00CE3C8A">
      <w:pPr>
        <w:jc w:val="both"/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 xml:space="preserve">ТЕНДЕРНІ ПРОПОЗИЦІЇ ПРИЙМАЮТЬСЯ </w:t>
      </w:r>
      <w:r w:rsidR="00EF1CDB" w:rsidRPr="00896B31">
        <w:rPr>
          <w:rFonts w:ascii="Tahoma" w:hAnsi="Tahoma" w:cs="Tahoma"/>
          <w:b/>
          <w:sz w:val="20"/>
          <w:szCs w:val="20"/>
          <w:lang w:val="uk-UA"/>
        </w:rPr>
        <w:t>НА ЕЛЕКТРОННУ</w:t>
      </w:r>
      <w:r w:rsidR="00662734">
        <w:rPr>
          <w:rFonts w:ascii="Tahoma" w:hAnsi="Tahoma" w:cs="Tahoma"/>
          <w:b/>
          <w:sz w:val="20"/>
          <w:szCs w:val="20"/>
          <w:lang w:val="uk-UA"/>
        </w:rPr>
        <w:t xml:space="preserve"> АДРЕСУ</w:t>
      </w:r>
      <w:r w:rsidRPr="00896B31">
        <w:rPr>
          <w:rFonts w:ascii="Tahoma" w:hAnsi="Tahoma" w:cs="Tahoma"/>
          <w:b/>
          <w:sz w:val="20"/>
          <w:szCs w:val="20"/>
          <w:lang w:val="uk-UA"/>
        </w:rPr>
        <w:t>:</w:t>
      </w:r>
    </w:p>
    <w:p w14:paraId="218D489D" w14:textId="5673DA1A" w:rsidR="001B59A1" w:rsidRPr="00896B31" w:rsidRDefault="00D835AD" w:rsidP="001B59A1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hyperlink r:id="rId11" w:history="1">
        <w:r w:rsidR="00A353C9" w:rsidRPr="00916CDB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kotov</w:t>
        </w:r>
        <w:r w:rsidR="00A353C9" w:rsidRPr="00916CDB">
          <w:rPr>
            <w:rStyle w:val="ad"/>
            <w:rFonts w:ascii="Tahoma" w:hAnsi="Tahoma" w:cs="Tahoma"/>
            <w:bCs/>
            <w:spacing w:val="-7"/>
            <w:sz w:val="20"/>
            <w:szCs w:val="20"/>
          </w:rPr>
          <w:t>@</w:t>
        </w:r>
        <w:r w:rsidR="00A353C9" w:rsidRPr="00916CDB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ti</w:t>
        </w:r>
        <w:r w:rsidR="00A353C9" w:rsidRPr="00916CDB">
          <w:rPr>
            <w:rStyle w:val="ad"/>
            <w:rFonts w:ascii="Tahoma" w:hAnsi="Tahoma" w:cs="Tahoma"/>
            <w:bCs/>
            <w:spacing w:val="-7"/>
            <w:sz w:val="20"/>
            <w:szCs w:val="20"/>
          </w:rPr>
          <w:t>-</w:t>
        </w:r>
        <w:r w:rsidR="00A353C9" w:rsidRPr="00916CDB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ukraine</w:t>
        </w:r>
        <w:r w:rsidR="00A353C9" w:rsidRPr="00916CDB">
          <w:rPr>
            <w:rStyle w:val="ad"/>
            <w:rFonts w:ascii="Tahoma" w:hAnsi="Tahoma" w:cs="Tahoma"/>
            <w:bCs/>
            <w:spacing w:val="-7"/>
            <w:sz w:val="20"/>
            <w:szCs w:val="20"/>
          </w:rPr>
          <w:t>.</w:t>
        </w:r>
        <w:r w:rsidR="00A353C9" w:rsidRPr="00916CDB">
          <w:rPr>
            <w:rStyle w:val="ad"/>
            <w:rFonts w:ascii="Tahoma" w:hAnsi="Tahoma" w:cs="Tahoma"/>
            <w:bCs/>
            <w:spacing w:val="-7"/>
            <w:sz w:val="20"/>
            <w:szCs w:val="20"/>
            <w:lang w:val="en-US"/>
          </w:rPr>
          <w:t>org</w:t>
        </w:r>
      </w:hyperlink>
      <w:r w:rsidR="00662734">
        <w:rPr>
          <w:rFonts w:ascii="Tahoma" w:hAnsi="Tahoma" w:cs="Tahoma"/>
          <w:bCs/>
          <w:color w:val="000000"/>
          <w:spacing w:val="-7"/>
          <w:sz w:val="20"/>
          <w:szCs w:val="20"/>
          <w:lang w:val="uk-UA"/>
        </w:rPr>
        <w:t xml:space="preserve"> </w:t>
      </w:r>
    </w:p>
    <w:p w14:paraId="44277F6F" w14:textId="77777777" w:rsidR="001B59A1" w:rsidRPr="00896B31" w:rsidRDefault="001B59A1" w:rsidP="001B59A1">
      <w:pPr>
        <w:ind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ab/>
      </w:r>
    </w:p>
    <w:p w14:paraId="3A509B58" w14:textId="77777777" w:rsidR="001B59A1" w:rsidRPr="00896B31" w:rsidRDefault="001B59A1" w:rsidP="00CE3C8A">
      <w:pPr>
        <w:jc w:val="both"/>
        <w:outlineLvl w:val="0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КІНЦЕВИЙ ТЕРМІН ПРИЙМАННЯ ТЕНДЕРНИХ ПРОПОЗИЦІЙ ВІД УЧАСНИКІВ ТОРГІВ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: </w:t>
      </w:r>
    </w:p>
    <w:p w14:paraId="41644687" w14:textId="6A58B983" w:rsidR="001B59A1" w:rsidRPr="00896B31" w:rsidRDefault="00A31E22" w:rsidP="001B59A1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 xml:space="preserve"> </w:t>
      </w:r>
      <w:r w:rsidR="00A353C9">
        <w:rPr>
          <w:rFonts w:ascii="Tahoma" w:hAnsi="Tahoma" w:cs="Tahoma"/>
          <w:sz w:val="20"/>
          <w:szCs w:val="20"/>
          <w:lang w:val="uk-UA"/>
        </w:rPr>
        <w:t>06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</w:t>
      </w:r>
      <w:r w:rsidR="00A353C9">
        <w:rPr>
          <w:rFonts w:ascii="Tahoma" w:hAnsi="Tahoma" w:cs="Tahoma"/>
          <w:sz w:val="20"/>
          <w:szCs w:val="20"/>
          <w:lang w:val="uk-UA"/>
        </w:rPr>
        <w:t xml:space="preserve">червня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201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>7</w:t>
      </w:r>
      <w:r w:rsidR="00A04997" w:rsidRPr="00896B31">
        <w:rPr>
          <w:rFonts w:ascii="Tahoma" w:hAnsi="Tahoma" w:cs="Tahoma"/>
          <w:sz w:val="20"/>
          <w:szCs w:val="20"/>
          <w:lang w:val="uk-UA"/>
        </w:rPr>
        <w:t xml:space="preserve"> року, до 1</w:t>
      </w:r>
      <w:r w:rsidR="00A353C9">
        <w:rPr>
          <w:rFonts w:ascii="Tahoma" w:hAnsi="Tahoma" w:cs="Tahoma"/>
          <w:sz w:val="20"/>
          <w:szCs w:val="20"/>
          <w:lang w:val="uk-UA"/>
        </w:rPr>
        <w:t>0</w:t>
      </w:r>
      <w:r w:rsidR="00A04997" w:rsidRPr="00896B31">
        <w:rPr>
          <w:rFonts w:ascii="Tahoma" w:hAnsi="Tahoma" w:cs="Tahoma"/>
          <w:sz w:val="20"/>
          <w:szCs w:val="20"/>
          <w:lang w:val="uk-UA"/>
        </w:rPr>
        <w:t>:0</w:t>
      </w:r>
      <w:r w:rsidR="00DF5CF2" w:rsidRPr="00896B31">
        <w:rPr>
          <w:rFonts w:ascii="Tahoma" w:hAnsi="Tahoma" w:cs="Tahoma"/>
          <w:sz w:val="20"/>
          <w:szCs w:val="20"/>
          <w:lang w:val="uk-UA"/>
        </w:rPr>
        <w:t>0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год. 00 хв. за київським часом.</w:t>
      </w:r>
    </w:p>
    <w:p w14:paraId="3EF26E6D" w14:textId="77777777" w:rsidR="001B59A1" w:rsidRPr="00896B31" w:rsidRDefault="001B59A1" w:rsidP="001B59A1">
      <w:pPr>
        <w:jc w:val="both"/>
        <w:rPr>
          <w:rFonts w:ascii="Tahoma" w:hAnsi="Tahoma" w:cs="Tahoma"/>
          <w:b/>
          <w:bCs/>
          <w:iCs/>
          <w:sz w:val="20"/>
          <w:szCs w:val="20"/>
          <w:lang w:val="uk-UA"/>
        </w:rPr>
      </w:pPr>
    </w:p>
    <w:p w14:paraId="75832D14" w14:textId="77777777" w:rsidR="001B59A1" w:rsidRPr="00896B31" w:rsidRDefault="001B59A1" w:rsidP="00CE3C8A">
      <w:pPr>
        <w:jc w:val="both"/>
        <w:outlineLvl w:val="0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b/>
          <w:bCs/>
          <w:iCs/>
          <w:sz w:val="20"/>
          <w:szCs w:val="20"/>
          <w:lang w:val="uk-UA"/>
        </w:rPr>
        <w:t>РОЗКРИТТЯ ТЕНДЕРНИХ ПРОПОЗИЦІЙ УЧАСНИКІВ ТОРГІВ ВІДБУДЕТЬСЯ</w:t>
      </w:r>
      <w:r w:rsidRPr="00896B31">
        <w:rPr>
          <w:rFonts w:ascii="Tahoma" w:hAnsi="Tahoma" w:cs="Tahoma"/>
          <w:sz w:val="20"/>
          <w:szCs w:val="20"/>
          <w:lang w:val="uk-UA"/>
        </w:rPr>
        <w:t>:</w:t>
      </w:r>
    </w:p>
    <w:p w14:paraId="44653E2B" w14:textId="283DEB0B" w:rsidR="00C95472" w:rsidRPr="00896B31" w:rsidRDefault="00A353C9" w:rsidP="0026273E">
      <w:pPr>
        <w:jc w:val="both"/>
        <w:rPr>
          <w:rFonts w:ascii="Tahoma" w:hAnsi="Tahoma" w:cs="Tahoma"/>
          <w:color w:val="000000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lastRenderedPageBreak/>
        <w:t>06 червня</w:t>
      </w:r>
      <w:r w:rsidR="00662C87" w:rsidRPr="00896B31">
        <w:rPr>
          <w:rFonts w:ascii="Tahoma" w:hAnsi="Tahoma" w:cs="Tahoma"/>
          <w:sz w:val="20"/>
          <w:szCs w:val="20"/>
          <w:lang w:val="uk-UA"/>
        </w:rPr>
        <w:t xml:space="preserve"> 2017</w:t>
      </w:r>
      <w:r w:rsidR="00176E28" w:rsidRPr="00896B31">
        <w:rPr>
          <w:rFonts w:ascii="Tahoma" w:hAnsi="Tahoma" w:cs="Tahoma"/>
          <w:sz w:val="20"/>
          <w:szCs w:val="20"/>
          <w:lang w:val="uk-UA"/>
        </w:rPr>
        <w:t xml:space="preserve"> року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, о 1</w:t>
      </w:r>
      <w:r>
        <w:rPr>
          <w:rFonts w:ascii="Tahoma" w:hAnsi="Tahoma" w:cs="Tahoma"/>
          <w:sz w:val="20"/>
          <w:szCs w:val="20"/>
          <w:lang w:val="uk-UA"/>
        </w:rPr>
        <w:t>2</w:t>
      </w:r>
      <w:r w:rsidR="00DF5CF2" w:rsidRPr="00896B31">
        <w:rPr>
          <w:rFonts w:ascii="Tahoma" w:hAnsi="Tahoma" w:cs="Tahoma"/>
          <w:sz w:val="20"/>
          <w:szCs w:val="20"/>
          <w:lang w:val="uk-UA"/>
        </w:rPr>
        <w:t>:</w:t>
      </w:r>
      <w:r w:rsidR="00A04997" w:rsidRPr="00896B31">
        <w:rPr>
          <w:rFonts w:ascii="Tahoma" w:hAnsi="Tahoma" w:cs="Tahoma"/>
          <w:sz w:val="20"/>
          <w:szCs w:val="20"/>
          <w:lang w:val="uk-UA"/>
        </w:rPr>
        <w:t>0</w:t>
      </w:r>
      <w:r w:rsidR="00DF5CF2" w:rsidRPr="00896B31">
        <w:rPr>
          <w:rFonts w:ascii="Tahoma" w:hAnsi="Tahoma" w:cs="Tahoma"/>
          <w:sz w:val="20"/>
          <w:szCs w:val="20"/>
          <w:lang w:val="uk-UA"/>
        </w:rPr>
        <w:t>0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 xml:space="preserve"> год. 00 хв.</w:t>
      </w:r>
      <w:r w:rsidR="001B59A1" w:rsidRPr="00896B31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1B59A1" w:rsidRPr="00896B31">
        <w:rPr>
          <w:rFonts w:ascii="Tahoma" w:hAnsi="Tahoma" w:cs="Tahoma"/>
          <w:sz w:val="20"/>
          <w:szCs w:val="20"/>
          <w:lang w:val="uk-UA"/>
        </w:rPr>
        <w:t>за київським часом</w:t>
      </w:r>
      <w:r w:rsidR="001B6653">
        <w:rPr>
          <w:rFonts w:ascii="Tahoma" w:hAnsi="Tahoma" w:cs="Tahoma"/>
          <w:color w:val="000000"/>
          <w:sz w:val="20"/>
          <w:szCs w:val="20"/>
          <w:lang w:val="uk-UA"/>
        </w:rPr>
        <w:t>.</w:t>
      </w:r>
    </w:p>
    <w:p w14:paraId="02B46B79" w14:textId="61795E57" w:rsidR="001B59A1" w:rsidRPr="00896B31" w:rsidRDefault="001B59A1" w:rsidP="001B59A1">
      <w:pPr>
        <w:jc w:val="both"/>
        <w:rPr>
          <w:rFonts w:ascii="Tahoma" w:hAnsi="Tahoma" w:cs="Tahoma"/>
          <w:color w:val="000000"/>
          <w:sz w:val="20"/>
          <w:szCs w:val="20"/>
          <w:lang w:val="uk-UA"/>
        </w:rPr>
      </w:pPr>
    </w:p>
    <w:p w14:paraId="11C20A6A" w14:textId="77777777" w:rsidR="00FC4ABA" w:rsidRPr="00896B31" w:rsidRDefault="00FC4ABA" w:rsidP="00CE3C8A">
      <w:pPr>
        <w:pStyle w:val="ac"/>
        <w:spacing w:before="0" w:beforeAutospacing="0" w:after="0" w:afterAutospacing="0"/>
        <w:outlineLvl w:val="0"/>
        <w:rPr>
          <w:rFonts w:ascii="Tahoma" w:hAnsi="Tahoma" w:cs="Tahoma"/>
          <w:b/>
          <w:sz w:val="20"/>
          <w:szCs w:val="20"/>
          <w:lang w:val="uk-UA"/>
        </w:rPr>
      </w:pPr>
      <w:r w:rsidRPr="00896B31">
        <w:rPr>
          <w:rFonts w:ascii="Tahoma" w:hAnsi="Tahoma" w:cs="Tahoma"/>
          <w:b/>
          <w:sz w:val="20"/>
          <w:szCs w:val="20"/>
          <w:lang w:val="uk-UA"/>
        </w:rPr>
        <w:t>Додаткова інформація (заповнюється у разі необхідності):</w:t>
      </w:r>
    </w:p>
    <w:p w14:paraId="5C1648EA" w14:textId="77777777" w:rsidR="00176E28" w:rsidRPr="00896B31" w:rsidRDefault="00FC4ABA" w:rsidP="00176E28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Учасник конкурсних торгів обов’язково повинен додатково надавати інформацію у відповідності до додатків, що зазначені в технічних та кваліфікаційних вимогах;</w:t>
      </w:r>
    </w:p>
    <w:p w14:paraId="5DF832FD" w14:textId="77777777" w:rsidR="00FC4ABA" w:rsidRPr="00896B31" w:rsidRDefault="00FC4ABA" w:rsidP="00176E28">
      <w:pPr>
        <w:pStyle w:val="af6"/>
        <w:numPr>
          <w:ilvl w:val="0"/>
          <w:numId w:val="13"/>
        </w:numPr>
        <w:autoSpaceDE w:val="0"/>
        <w:autoSpaceDN w:val="0"/>
        <w:adjustRightInd w:val="0"/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Для фінансового звітування за проведені заходи виконавець повинен надавати копії первинної документації про розрахунки з третіми сторонами, а саме: </w:t>
      </w:r>
    </w:p>
    <w:p w14:paraId="15C90907" w14:textId="707C10BF" w:rsidR="00FC4ABA" w:rsidRPr="00896B31" w:rsidRDefault="00FC4ABA" w:rsidP="00FC4ABA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рахунок-фактура від готелів/баз; акт виконання робіт між готелем/базою та контрагентом; рахунок та /або видаткова накладна на закупів</w:t>
      </w:r>
      <w:r w:rsidR="00A05641">
        <w:rPr>
          <w:rFonts w:ascii="Tahoma" w:hAnsi="Tahoma" w:cs="Tahoma"/>
          <w:sz w:val="20"/>
          <w:szCs w:val="20"/>
          <w:lang w:val="uk-UA"/>
        </w:rPr>
        <w:t>лю канцелярських товарів; прайс-</w:t>
      </w:r>
      <w:r w:rsidRPr="00896B31">
        <w:rPr>
          <w:rFonts w:ascii="Tahoma" w:hAnsi="Tahoma" w:cs="Tahoma"/>
          <w:sz w:val="20"/>
          <w:szCs w:val="20"/>
          <w:lang w:val="uk-UA"/>
        </w:rPr>
        <w:t xml:space="preserve">листи на харчування (кава-паузи, обіди), якщо організація </w:t>
      </w:r>
      <w:r w:rsidR="00A05641">
        <w:rPr>
          <w:rFonts w:ascii="Tahoma" w:hAnsi="Tahoma" w:cs="Tahoma"/>
          <w:sz w:val="20"/>
          <w:szCs w:val="20"/>
          <w:lang w:val="uk-UA"/>
        </w:rPr>
        <w:t>відбувалась контрагентом; прайс-</w:t>
      </w:r>
      <w:bookmarkStart w:id="0" w:name="_GoBack"/>
      <w:bookmarkEnd w:id="0"/>
      <w:r w:rsidRPr="00896B31">
        <w:rPr>
          <w:rFonts w:ascii="Tahoma" w:hAnsi="Tahoma" w:cs="Tahoma"/>
          <w:sz w:val="20"/>
          <w:szCs w:val="20"/>
          <w:lang w:val="uk-UA"/>
        </w:rPr>
        <w:t>лист на технічне та транспортне забезпечення (техніка була надана в оренду контрагентом, тренінг відбувався за містом); оригінали проїзних документів учасників (квитки).</w:t>
      </w:r>
    </w:p>
    <w:p w14:paraId="5C6C0159" w14:textId="77777777" w:rsidR="00FC4ABA" w:rsidRPr="00896B31" w:rsidRDefault="00FC4ABA" w:rsidP="00FC4ABA">
      <w:pPr>
        <w:pStyle w:val="af6"/>
        <w:tabs>
          <w:tab w:val="left" w:pos="709"/>
          <w:tab w:val="left" w:pos="1134"/>
        </w:tabs>
        <w:ind w:left="-142" w:firstLine="851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>Даний перелік не є вичерпним, вимоги до первинної документації можуть змінюватись залежно від специфіки заходів.</w:t>
      </w:r>
    </w:p>
    <w:p w14:paraId="367C88D3" w14:textId="6C6FDC1E" w:rsidR="00FC4ABA" w:rsidRDefault="00FC4ABA" w:rsidP="00FC4ABA">
      <w:pPr>
        <w:pStyle w:val="af6"/>
        <w:numPr>
          <w:ilvl w:val="0"/>
          <w:numId w:val="13"/>
        </w:numPr>
        <w:tabs>
          <w:tab w:val="left" w:pos="426"/>
          <w:tab w:val="left" w:pos="709"/>
        </w:tabs>
        <w:ind w:left="-142"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sz w:val="20"/>
          <w:szCs w:val="20"/>
          <w:lang w:val="uk-UA"/>
        </w:rPr>
        <w:t xml:space="preserve">Планується, що буде обрано декілька компаній, які надають послуги з матеріально-технічного забезпечення заходів, між якими будуть проводитися внутрішні тендери на підставі технічного завдання (ТЗ) для конкретного заходу. </w:t>
      </w:r>
    </w:p>
    <w:p w14:paraId="1A5C4C15" w14:textId="77777777" w:rsidR="00274634" w:rsidRPr="00896B31" w:rsidRDefault="00274634" w:rsidP="00274634">
      <w:pPr>
        <w:pStyle w:val="af6"/>
        <w:tabs>
          <w:tab w:val="left" w:pos="426"/>
          <w:tab w:val="left" w:pos="709"/>
        </w:tabs>
        <w:ind w:left="284"/>
        <w:jc w:val="both"/>
        <w:rPr>
          <w:rFonts w:ascii="Tahoma" w:hAnsi="Tahoma" w:cs="Tahoma"/>
          <w:sz w:val="20"/>
          <w:szCs w:val="20"/>
          <w:lang w:val="uk-UA"/>
        </w:rPr>
      </w:pPr>
    </w:p>
    <w:p w14:paraId="45B8E2C3" w14:textId="1D58BA21" w:rsidR="00FC4ABA" w:rsidRPr="00896B31" w:rsidRDefault="00FC181F" w:rsidP="001B665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="00FC4ABA" w:rsidRPr="00896B31">
        <w:rPr>
          <w:rFonts w:ascii="Tahoma" w:hAnsi="Tahoma" w:cs="Tahoma"/>
          <w:sz w:val="20"/>
          <w:szCs w:val="20"/>
          <w:lang w:val="uk-UA"/>
        </w:rPr>
        <w:t>залишає за собою право в момент визначення переможця тендеру рекомендувати переможцю збільшити або зменшити на 15% обсяг послуг з відповідною зміною ціни або інших умов тендерної пропозиції.</w:t>
      </w:r>
    </w:p>
    <w:p w14:paraId="60E031B3" w14:textId="6FE94A32" w:rsidR="001B59A1" w:rsidRPr="00896B31" w:rsidRDefault="001B59A1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Найбільш вигідна тендерна пропозиція визначається Комітетом із затвердження закупівлі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серед тендерних пропозицій, які відповідають умовам цього Оголошення та умовам Тендерної пропозиції, згідно критеріїв оцінки, які зазначені у тендерній пропозиції. </w:t>
      </w:r>
    </w:p>
    <w:p w14:paraId="13DF7839" w14:textId="77777777" w:rsidR="00176E28" w:rsidRPr="00896B31" w:rsidRDefault="001B59A1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Визначення переможця даної процедури закупівлі відбудеться протягом 10 (десяти)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3 (три) робочих дні. </w:t>
      </w:r>
    </w:p>
    <w:p w14:paraId="7F13CE29" w14:textId="4AF58060" w:rsidR="001B59A1" w:rsidRPr="00896B31" w:rsidRDefault="001B59A1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Результати процедури закупівлі буде повідомлено всім учасникам не пізніше 5 (п’яти) робочих днів з дати прийняття рішення про визначення переможця шляхом оприлюднення на веб-сайті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="00C95472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hyperlink r:id="rId12" w:history="1">
        <w:r w:rsidR="00FC181F" w:rsidRPr="00896B31">
          <w:rPr>
            <w:rStyle w:val="ad"/>
            <w:rFonts w:ascii="Tahoma" w:hAnsi="Tahoma" w:cs="Tahoma"/>
            <w:spacing w:val="-4"/>
            <w:sz w:val="20"/>
            <w:szCs w:val="20"/>
            <w:lang w:val="uk-UA"/>
          </w:rPr>
          <w:t>http://ti-ukraine.org/</w:t>
        </w:r>
      </w:hyperlink>
      <w:r w:rsidR="00FC181F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та шляхом надсилання відповідних </w:t>
      </w:r>
      <w:r w:rsidR="00D343DE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повідомлень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учасникам тендеру поштою або електронною поштою. Переможц</w:t>
      </w:r>
      <w:r w:rsidR="00D343DE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ю процедури закупівлі упродовж 5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D343DE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(п’яти) робочих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днів, з моменту визначення його переможцем, буде надіслане електронною поштою письмове повідомлення про акцепт його пропозиції. </w:t>
      </w:r>
    </w:p>
    <w:p w14:paraId="35D90896" w14:textId="474ABEF6" w:rsidR="00AA3AB9" w:rsidRPr="00896B31" w:rsidRDefault="00FC181F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="00AA3AB9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залишає за собою право вимагати від учасників конкурсних торгів (тендеру) додаткові матеріали або інформацію, що підтверджують відповідність окремих положень пропозицій вимогам специфікації та юридичної особи, як учасника даних конкурсних торгів.</w:t>
      </w:r>
    </w:p>
    <w:p w14:paraId="622B288C" w14:textId="198CC646" w:rsidR="00AA3AB9" w:rsidRPr="00FC4ABA" w:rsidRDefault="00AA3AB9" w:rsidP="00176E28">
      <w:pPr>
        <w:ind w:firstLine="708"/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Учасники конкурсних торгів погоджуються з тим, що</w:t>
      </w:r>
      <w:r w:rsidR="00FC181F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FC181F" w:rsidRPr="00896B31">
        <w:rPr>
          <w:rFonts w:ascii="Tahoma" w:hAnsi="Tahoma" w:cs="Tahoma"/>
          <w:color w:val="000000"/>
          <w:spacing w:val="-4"/>
          <w:sz w:val="20"/>
          <w:szCs w:val="20"/>
          <w:lang w:val="en-US"/>
        </w:rPr>
        <w:t>TI</w:t>
      </w:r>
      <w:r w:rsidR="00FC181F"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Україна </w:t>
      </w:r>
      <w:r w:rsidRPr="00896B31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не повертає матеріали, подані на будь-якій стадії проведення конкурсних торгів.</w:t>
      </w:r>
    </w:p>
    <w:p w14:paraId="491F797A" w14:textId="77777777" w:rsidR="00AA3AB9" w:rsidRPr="00FC4ABA" w:rsidRDefault="00AA3AB9" w:rsidP="00AA3AB9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14:paraId="57841BBB" w14:textId="77777777" w:rsidR="00AA3AB9" w:rsidRPr="00FC4ABA" w:rsidRDefault="00AA3AB9" w:rsidP="001B59A1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14:paraId="0228A9AE" w14:textId="77777777" w:rsidR="00DB5061" w:rsidRPr="00FC4ABA" w:rsidRDefault="00DB5061" w:rsidP="001B59A1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sectPr w:rsidR="00DB5061" w:rsidRPr="00FC4ABA" w:rsidSect="00BE51E4">
      <w:footerReference w:type="default" r:id="rId13"/>
      <w:pgSz w:w="11906" w:h="16838"/>
      <w:pgMar w:top="720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A635" w14:textId="77777777" w:rsidR="00D835AD" w:rsidRDefault="00D835AD">
      <w:r>
        <w:separator/>
      </w:r>
    </w:p>
  </w:endnote>
  <w:endnote w:type="continuationSeparator" w:id="0">
    <w:p w14:paraId="57399461" w14:textId="77777777" w:rsidR="00D835AD" w:rsidRDefault="00D8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52F9" w14:textId="6301028E" w:rsidR="00B44CC0" w:rsidRDefault="00B44CC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05641">
      <w:rPr>
        <w:noProof/>
      </w:rPr>
      <w:t>4</w:t>
    </w:r>
    <w:r>
      <w:fldChar w:fldCharType="end"/>
    </w:r>
  </w:p>
  <w:p w14:paraId="7EC20992" w14:textId="77777777" w:rsidR="00B44CC0" w:rsidRDefault="00B44CC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C8EC" w14:textId="77777777" w:rsidR="00D835AD" w:rsidRDefault="00D835AD">
      <w:r>
        <w:separator/>
      </w:r>
    </w:p>
  </w:footnote>
  <w:footnote w:type="continuationSeparator" w:id="0">
    <w:p w14:paraId="70C6503B" w14:textId="77777777" w:rsidR="00D835AD" w:rsidRDefault="00D8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53"/>
    <w:multiLevelType w:val="hybridMultilevel"/>
    <w:tmpl w:val="8E721170"/>
    <w:lvl w:ilvl="0" w:tplc="63124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4E2"/>
    <w:multiLevelType w:val="hybridMultilevel"/>
    <w:tmpl w:val="4150EE8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434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6F6834"/>
    <w:multiLevelType w:val="hybridMultilevel"/>
    <w:tmpl w:val="CA3CF514"/>
    <w:lvl w:ilvl="0" w:tplc="5FB896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C32D3"/>
    <w:multiLevelType w:val="hybridMultilevel"/>
    <w:tmpl w:val="1E0298F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500E0"/>
    <w:multiLevelType w:val="multilevel"/>
    <w:tmpl w:val="A47841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7" w15:restartNumberingAfterBreak="0">
    <w:nsid w:val="2D832C14"/>
    <w:multiLevelType w:val="hybridMultilevel"/>
    <w:tmpl w:val="E43ED93E"/>
    <w:lvl w:ilvl="0" w:tplc="0419000F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6" w:hanging="360"/>
      </w:pPr>
    </w:lvl>
    <w:lvl w:ilvl="2" w:tplc="0422001B" w:tentative="1">
      <w:start w:val="1"/>
      <w:numFmt w:val="lowerRoman"/>
      <w:lvlText w:val="%3."/>
      <w:lvlJc w:val="right"/>
      <w:pPr>
        <w:ind w:left="2126" w:hanging="180"/>
      </w:pPr>
    </w:lvl>
    <w:lvl w:ilvl="3" w:tplc="0422000F" w:tentative="1">
      <w:start w:val="1"/>
      <w:numFmt w:val="decimal"/>
      <w:lvlText w:val="%4."/>
      <w:lvlJc w:val="left"/>
      <w:pPr>
        <w:ind w:left="2846" w:hanging="360"/>
      </w:pPr>
    </w:lvl>
    <w:lvl w:ilvl="4" w:tplc="04220019" w:tentative="1">
      <w:start w:val="1"/>
      <w:numFmt w:val="lowerLetter"/>
      <w:lvlText w:val="%5."/>
      <w:lvlJc w:val="left"/>
      <w:pPr>
        <w:ind w:left="3566" w:hanging="360"/>
      </w:pPr>
    </w:lvl>
    <w:lvl w:ilvl="5" w:tplc="0422001B" w:tentative="1">
      <w:start w:val="1"/>
      <w:numFmt w:val="lowerRoman"/>
      <w:lvlText w:val="%6."/>
      <w:lvlJc w:val="right"/>
      <w:pPr>
        <w:ind w:left="4286" w:hanging="180"/>
      </w:pPr>
    </w:lvl>
    <w:lvl w:ilvl="6" w:tplc="0422000F" w:tentative="1">
      <w:start w:val="1"/>
      <w:numFmt w:val="decimal"/>
      <w:lvlText w:val="%7."/>
      <w:lvlJc w:val="left"/>
      <w:pPr>
        <w:ind w:left="5006" w:hanging="360"/>
      </w:pPr>
    </w:lvl>
    <w:lvl w:ilvl="7" w:tplc="04220019" w:tentative="1">
      <w:start w:val="1"/>
      <w:numFmt w:val="lowerLetter"/>
      <w:lvlText w:val="%8."/>
      <w:lvlJc w:val="left"/>
      <w:pPr>
        <w:ind w:left="5726" w:hanging="360"/>
      </w:pPr>
    </w:lvl>
    <w:lvl w:ilvl="8" w:tplc="0422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37F45317"/>
    <w:multiLevelType w:val="hybridMultilevel"/>
    <w:tmpl w:val="1C264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45F8"/>
    <w:multiLevelType w:val="hybridMultilevel"/>
    <w:tmpl w:val="9A18F300"/>
    <w:lvl w:ilvl="0" w:tplc="A808C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6EF3"/>
    <w:multiLevelType w:val="hybridMultilevel"/>
    <w:tmpl w:val="A03CCDD6"/>
    <w:lvl w:ilvl="0" w:tplc="A456EE96">
      <w:start w:val="2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C4E8A"/>
    <w:multiLevelType w:val="hybridMultilevel"/>
    <w:tmpl w:val="FC001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CFE"/>
    <w:multiLevelType w:val="hybridMultilevel"/>
    <w:tmpl w:val="2062D97A"/>
    <w:lvl w:ilvl="0" w:tplc="20BC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695"/>
    <w:multiLevelType w:val="hybridMultilevel"/>
    <w:tmpl w:val="7D14D958"/>
    <w:lvl w:ilvl="0" w:tplc="0422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478C1BD9"/>
    <w:multiLevelType w:val="hybridMultilevel"/>
    <w:tmpl w:val="87624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47DB2"/>
    <w:multiLevelType w:val="hybridMultilevel"/>
    <w:tmpl w:val="2AA45DE8"/>
    <w:lvl w:ilvl="0" w:tplc="B964C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74E6"/>
    <w:multiLevelType w:val="hybridMultilevel"/>
    <w:tmpl w:val="B28ADA2E"/>
    <w:lvl w:ilvl="0" w:tplc="4C667220">
      <w:start w:val="1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32E45"/>
    <w:multiLevelType w:val="hybridMultilevel"/>
    <w:tmpl w:val="7D045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85"/>
    <w:multiLevelType w:val="hybridMultilevel"/>
    <w:tmpl w:val="1A72D3E8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F579CD"/>
    <w:multiLevelType w:val="hybridMultilevel"/>
    <w:tmpl w:val="BF84BDF2"/>
    <w:lvl w:ilvl="0" w:tplc="B7E2E5D6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4293"/>
    <w:multiLevelType w:val="multilevel"/>
    <w:tmpl w:val="27E853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21" w15:restartNumberingAfterBreak="0">
    <w:nsid w:val="6E9A64ED"/>
    <w:multiLevelType w:val="hybridMultilevel"/>
    <w:tmpl w:val="7F961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573ED"/>
    <w:multiLevelType w:val="hybridMultilevel"/>
    <w:tmpl w:val="C5362D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24" w15:restartNumberingAfterBreak="0">
    <w:nsid w:val="7816338A"/>
    <w:multiLevelType w:val="hybridMultilevel"/>
    <w:tmpl w:val="DB68E1CA"/>
    <w:lvl w:ilvl="0" w:tplc="1310A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E733CF"/>
    <w:multiLevelType w:val="hybridMultilevel"/>
    <w:tmpl w:val="797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22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4"/>
  </w:num>
  <w:num w:numId="17">
    <w:abstractNumId w:val="17"/>
  </w:num>
  <w:num w:numId="18">
    <w:abstractNumId w:val="20"/>
  </w:num>
  <w:num w:numId="19">
    <w:abstractNumId w:val="19"/>
  </w:num>
  <w:num w:numId="20">
    <w:abstractNumId w:val="14"/>
  </w:num>
  <w:num w:numId="21">
    <w:abstractNumId w:val="4"/>
  </w:num>
  <w:num w:numId="22">
    <w:abstractNumId w:val="9"/>
  </w:num>
  <w:num w:numId="23">
    <w:abstractNumId w:val="15"/>
  </w:num>
  <w:num w:numId="24">
    <w:abstractNumId w:val="7"/>
  </w:num>
  <w:num w:numId="25">
    <w:abstractNumId w:val="3"/>
  </w:num>
  <w:num w:numId="26">
    <w:abstractNumId w:val="2"/>
  </w:num>
  <w:num w:numId="27">
    <w:abstractNumId w:val="25"/>
  </w:num>
  <w:num w:numId="2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2211"/>
    <w:rsid w:val="00007D44"/>
    <w:rsid w:val="00007D57"/>
    <w:rsid w:val="00011780"/>
    <w:rsid w:val="0002329A"/>
    <w:rsid w:val="00025D97"/>
    <w:rsid w:val="0002696F"/>
    <w:rsid w:val="00027BB1"/>
    <w:rsid w:val="000316D9"/>
    <w:rsid w:val="0003635E"/>
    <w:rsid w:val="00036DFE"/>
    <w:rsid w:val="00047D7E"/>
    <w:rsid w:val="00050974"/>
    <w:rsid w:val="00052B37"/>
    <w:rsid w:val="000571B7"/>
    <w:rsid w:val="000607D4"/>
    <w:rsid w:val="000678D5"/>
    <w:rsid w:val="0007200C"/>
    <w:rsid w:val="00073AB7"/>
    <w:rsid w:val="000742B2"/>
    <w:rsid w:val="0007517A"/>
    <w:rsid w:val="00075D79"/>
    <w:rsid w:val="00076D81"/>
    <w:rsid w:val="00077FB7"/>
    <w:rsid w:val="00082C4A"/>
    <w:rsid w:val="00093666"/>
    <w:rsid w:val="000946FA"/>
    <w:rsid w:val="00094E16"/>
    <w:rsid w:val="0009527F"/>
    <w:rsid w:val="00097068"/>
    <w:rsid w:val="00097ABD"/>
    <w:rsid w:val="00097EC1"/>
    <w:rsid w:val="000A35E3"/>
    <w:rsid w:val="000A5180"/>
    <w:rsid w:val="000A60E0"/>
    <w:rsid w:val="000B0415"/>
    <w:rsid w:val="000B1C59"/>
    <w:rsid w:val="000B1D48"/>
    <w:rsid w:val="000B4787"/>
    <w:rsid w:val="000D0C4A"/>
    <w:rsid w:val="000D0DD0"/>
    <w:rsid w:val="000D27CB"/>
    <w:rsid w:val="000D5CC7"/>
    <w:rsid w:val="000D6E8A"/>
    <w:rsid w:val="000E45AD"/>
    <w:rsid w:val="000F0F1A"/>
    <w:rsid w:val="000F17A7"/>
    <w:rsid w:val="000F18D2"/>
    <w:rsid w:val="001001B8"/>
    <w:rsid w:val="00100E7D"/>
    <w:rsid w:val="0010120C"/>
    <w:rsid w:val="00103801"/>
    <w:rsid w:val="00103C69"/>
    <w:rsid w:val="00107BD4"/>
    <w:rsid w:val="00107C16"/>
    <w:rsid w:val="00120505"/>
    <w:rsid w:val="00124DA5"/>
    <w:rsid w:val="00131745"/>
    <w:rsid w:val="00131B8B"/>
    <w:rsid w:val="0013438F"/>
    <w:rsid w:val="00136BB2"/>
    <w:rsid w:val="00143265"/>
    <w:rsid w:val="00146E40"/>
    <w:rsid w:val="00147D55"/>
    <w:rsid w:val="0015292C"/>
    <w:rsid w:val="00154A8B"/>
    <w:rsid w:val="001564A5"/>
    <w:rsid w:val="001576EA"/>
    <w:rsid w:val="00157CF5"/>
    <w:rsid w:val="00164743"/>
    <w:rsid w:val="00166E71"/>
    <w:rsid w:val="0017614A"/>
    <w:rsid w:val="00176E28"/>
    <w:rsid w:val="00183480"/>
    <w:rsid w:val="00196177"/>
    <w:rsid w:val="001A070B"/>
    <w:rsid w:val="001B003C"/>
    <w:rsid w:val="001B02FA"/>
    <w:rsid w:val="001B07DC"/>
    <w:rsid w:val="001B4B7B"/>
    <w:rsid w:val="001B59A1"/>
    <w:rsid w:val="001B6653"/>
    <w:rsid w:val="001C1044"/>
    <w:rsid w:val="001C2851"/>
    <w:rsid w:val="001C48D2"/>
    <w:rsid w:val="001C5860"/>
    <w:rsid w:val="001C5BA6"/>
    <w:rsid w:val="001C5DCE"/>
    <w:rsid w:val="001D4097"/>
    <w:rsid w:val="001D4436"/>
    <w:rsid w:val="001D485E"/>
    <w:rsid w:val="001D651D"/>
    <w:rsid w:val="001E02E7"/>
    <w:rsid w:val="001E1FCE"/>
    <w:rsid w:val="001E5553"/>
    <w:rsid w:val="001F046B"/>
    <w:rsid w:val="001F0CD7"/>
    <w:rsid w:val="001F25D4"/>
    <w:rsid w:val="001F2D80"/>
    <w:rsid w:val="001F3914"/>
    <w:rsid w:val="001F6A84"/>
    <w:rsid w:val="001F78C1"/>
    <w:rsid w:val="00204FE3"/>
    <w:rsid w:val="00205C47"/>
    <w:rsid w:val="00206285"/>
    <w:rsid w:val="00211859"/>
    <w:rsid w:val="00216BE0"/>
    <w:rsid w:val="002174C2"/>
    <w:rsid w:val="00224417"/>
    <w:rsid w:val="00224EE8"/>
    <w:rsid w:val="002264DC"/>
    <w:rsid w:val="00226CF9"/>
    <w:rsid w:val="002310DA"/>
    <w:rsid w:val="002320B9"/>
    <w:rsid w:val="0023237D"/>
    <w:rsid w:val="00237A4E"/>
    <w:rsid w:val="00245B2B"/>
    <w:rsid w:val="00250B8A"/>
    <w:rsid w:val="0025239E"/>
    <w:rsid w:val="0026273E"/>
    <w:rsid w:val="00272D32"/>
    <w:rsid w:val="00273604"/>
    <w:rsid w:val="00273BD1"/>
    <w:rsid w:val="00274634"/>
    <w:rsid w:val="0028156D"/>
    <w:rsid w:val="00285DE4"/>
    <w:rsid w:val="002870FD"/>
    <w:rsid w:val="002873D8"/>
    <w:rsid w:val="00295ABE"/>
    <w:rsid w:val="00296CE0"/>
    <w:rsid w:val="002B05A1"/>
    <w:rsid w:val="002B1C36"/>
    <w:rsid w:val="002B2696"/>
    <w:rsid w:val="002B28DE"/>
    <w:rsid w:val="002B2A14"/>
    <w:rsid w:val="002B3094"/>
    <w:rsid w:val="002B7EEB"/>
    <w:rsid w:val="002C1D11"/>
    <w:rsid w:val="002C3FF9"/>
    <w:rsid w:val="002D4687"/>
    <w:rsid w:val="002D65FA"/>
    <w:rsid w:val="002E413A"/>
    <w:rsid w:val="002F4A2D"/>
    <w:rsid w:val="002F68BF"/>
    <w:rsid w:val="00302684"/>
    <w:rsid w:val="00306279"/>
    <w:rsid w:val="00310D3B"/>
    <w:rsid w:val="003112BB"/>
    <w:rsid w:val="0031153A"/>
    <w:rsid w:val="0031479A"/>
    <w:rsid w:val="00315264"/>
    <w:rsid w:val="00315486"/>
    <w:rsid w:val="00321F47"/>
    <w:rsid w:val="00322D7A"/>
    <w:rsid w:val="00325175"/>
    <w:rsid w:val="00331F55"/>
    <w:rsid w:val="0033293A"/>
    <w:rsid w:val="003405A0"/>
    <w:rsid w:val="00344B9F"/>
    <w:rsid w:val="00345290"/>
    <w:rsid w:val="00345ABF"/>
    <w:rsid w:val="003503D1"/>
    <w:rsid w:val="00352621"/>
    <w:rsid w:val="003531E2"/>
    <w:rsid w:val="00354C72"/>
    <w:rsid w:val="00372412"/>
    <w:rsid w:val="0037255D"/>
    <w:rsid w:val="00376072"/>
    <w:rsid w:val="00381D01"/>
    <w:rsid w:val="0038419C"/>
    <w:rsid w:val="00384E43"/>
    <w:rsid w:val="00385239"/>
    <w:rsid w:val="003879D2"/>
    <w:rsid w:val="00396F44"/>
    <w:rsid w:val="003A63F3"/>
    <w:rsid w:val="003A728D"/>
    <w:rsid w:val="003A7F27"/>
    <w:rsid w:val="003B3365"/>
    <w:rsid w:val="003B481F"/>
    <w:rsid w:val="003B6636"/>
    <w:rsid w:val="003C149F"/>
    <w:rsid w:val="003C2619"/>
    <w:rsid w:val="003C2E42"/>
    <w:rsid w:val="003D0E2E"/>
    <w:rsid w:val="003D3825"/>
    <w:rsid w:val="003D3900"/>
    <w:rsid w:val="003E2898"/>
    <w:rsid w:val="003E34A8"/>
    <w:rsid w:val="003E5CAF"/>
    <w:rsid w:val="003E7842"/>
    <w:rsid w:val="003F00FB"/>
    <w:rsid w:val="003F3E4C"/>
    <w:rsid w:val="003F5FA5"/>
    <w:rsid w:val="003F5FB6"/>
    <w:rsid w:val="003F6C36"/>
    <w:rsid w:val="00403253"/>
    <w:rsid w:val="00403CAD"/>
    <w:rsid w:val="00404E88"/>
    <w:rsid w:val="00411BCC"/>
    <w:rsid w:val="00424941"/>
    <w:rsid w:val="00426AAE"/>
    <w:rsid w:val="00431B23"/>
    <w:rsid w:val="00433F85"/>
    <w:rsid w:val="00437541"/>
    <w:rsid w:val="00437D51"/>
    <w:rsid w:val="0044189D"/>
    <w:rsid w:val="00444DC1"/>
    <w:rsid w:val="00450F38"/>
    <w:rsid w:val="00452CB8"/>
    <w:rsid w:val="00453196"/>
    <w:rsid w:val="00455986"/>
    <w:rsid w:val="00467A47"/>
    <w:rsid w:val="0047143A"/>
    <w:rsid w:val="004715CF"/>
    <w:rsid w:val="004766F0"/>
    <w:rsid w:val="00477877"/>
    <w:rsid w:val="00480361"/>
    <w:rsid w:val="00483386"/>
    <w:rsid w:val="00483A61"/>
    <w:rsid w:val="004879FB"/>
    <w:rsid w:val="00487DF0"/>
    <w:rsid w:val="00497CD9"/>
    <w:rsid w:val="004A0CFF"/>
    <w:rsid w:val="004A20D7"/>
    <w:rsid w:val="004B2CAB"/>
    <w:rsid w:val="004B60E8"/>
    <w:rsid w:val="004B6A3A"/>
    <w:rsid w:val="004C31FE"/>
    <w:rsid w:val="004C4DD6"/>
    <w:rsid w:val="004C51FC"/>
    <w:rsid w:val="004C6B20"/>
    <w:rsid w:val="004C75A1"/>
    <w:rsid w:val="004D2629"/>
    <w:rsid w:val="004D2DC2"/>
    <w:rsid w:val="004D762B"/>
    <w:rsid w:val="004E604A"/>
    <w:rsid w:val="004E6C22"/>
    <w:rsid w:val="004F753E"/>
    <w:rsid w:val="00503283"/>
    <w:rsid w:val="0050351A"/>
    <w:rsid w:val="00514676"/>
    <w:rsid w:val="00515D5B"/>
    <w:rsid w:val="0052037D"/>
    <w:rsid w:val="00520539"/>
    <w:rsid w:val="00520AB8"/>
    <w:rsid w:val="00525CF8"/>
    <w:rsid w:val="005275AD"/>
    <w:rsid w:val="005313EF"/>
    <w:rsid w:val="005335D7"/>
    <w:rsid w:val="00534905"/>
    <w:rsid w:val="00534E62"/>
    <w:rsid w:val="00540FA1"/>
    <w:rsid w:val="00542234"/>
    <w:rsid w:val="0054235A"/>
    <w:rsid w:val="0054292D"/>
    <w:rsid w:val="00545BF1"/>
    <w:rsid w:val="0055168C"/>
    <w:rsid w:val="00551929"/>
    <w:rsid w:val="00557AB4"/>
    <w:rsid w:val="0056486C"/>
    <w:rsid w:val="0057406F"/>
    <w:rsid w:val="005768A8"/>
    <w:rsid w:val="00583F11"/>
    <w:rsid w:val="00585B94"/>
    <w:rsid w:val="00586030"/>
    <w:rsid w:val="0058673D"/>
    <w:rsid w:val="00587617"/>
    <w:rsid w:val="00590398"/>
    <w:rsid w:val="005924D2"/>
    <w:rsid w:val="0059286B"/>
    <w:rsid w:val="00593049"/>
    <w:rsid w:val="0059440E"/>
    <w:rsid w:val="00596B56"/>
    <w:rsid w:val="005A2F34"/>
    <w:rsid w:val="005A7E06"/>
    <w:rsid w:val="005B2451"/>
    <w:rsid w:val="005B4A43"/>
    <w:rsid w:val="005B68AA"/>
    <w:rsid w:val="005C5405"/>
    <w:rsid w:val="005C57E1"/>
    <w:rsid w:val="005C5973"/>
    <w:rsid w:val="005C5DBC"/>
    <w:rsid w:val="005C6D12"/>
    <w:rsid w:val="005D4A11"/>
    <w:rsid w:val="005D4B63"/>
    <w:rsid w:val="005D5E56"/>
    <w:rsid w:val="005E4711"/>
    <w:rsid w:val="005E49EC"/>
    <w:rsid w:val="005E4AA2"/>
    <w:rsid w:val="005F2F73"/>
    <w:rsid w:val="0060637F"/>
    <w:rsid w:val="00612B0A"/>
    <w:rsid w:val="006146B8"/>
    <w:rsid w:val="00622D10"/>
    <w:rsid w:val="00623052"/>
    <w:rsid w:val="0062341F"/>
    <w:rsid w:val="00625D2A"/>
    <w:rsid w:val="00626BDF"/>
    <w:rsid w:val="00626D2C"/>
    <w:rsid w:val="0063702C"/>
    <w:rsid w:val="006402D3"/>
    <w:rsid w:val="006405E6"/>
    <w:rsid w:val="00650EF0"/>
    <w:rsid w:val="00655C2D"/>
    <w:rsid w:val="00656E1B"/>
    <w:rsid w:val="006620F7"/>
    <w:rsid w:val="00662734"/>
    <w:rsid w:val="00662C87"/>
    <w:rsid w:val="00663F17"/>
    <w:rsid w:val="00681DC7"/>
    <w:rsid w:val="00682751"/>
    <w:rsid w:val="006838A8"/>
    <w:rsid w:val="0068624A"/>
    <w:rsid w:val="00686AA4"/>
    <w:rsid w:val="00686BC8"/>
    <w:rsid w:val="006876AF"/>
    <w:rsid w:val="00691FF3"/>
    <w:rsid w:val="0069387D"/>
    <w:rsid w:val="00695831"/>
    <w:rsid w:val="00695C69"/>
    <w:rsid w:val="006964FC"/>
    <w:rsid w:val="00697496"/>
    <w:rsid w:val="006B5CC4"/>
    <w:rsid w:val="006C4C6F"/>
    <w:rsid w:val="006C5644"/>
    <w:rsid w:val="006D05EF"/>
    <w:rsid w:val="006D1224"/>
    <w:rsid w:val="006D4D09"/>
    <w:rsid w:val="006E19B3"/>
    <w:rsid w:val="006E2362"/>
    <w:rsid w:val="006F0198"/>
    <w:rsid w:val="006F0D24"/>
    <w:rsid w:val="006F48A8"/>
    <w:rsid w:val="006F4B0F"/>
    <w:rsid w:val="006F5682"/>
    <w:rsid w:val="006F670C"/>
    <w:rsid w:val="007001F1"/>
    <w:rsid w:val="00703657"/>
    <w:rsid w:val="00703DC8"/>
    <w:rsid w:val="00705999"/>
    <w:rsid w:val="00711319"/>
    <w:rsid w:val="007126E8"/>
    <w:rsid w:val="0071419A"/>
    <w:rsid w:val="0071438D"/>
    <w:rsid w:val="007279BE"/>
    <w:rsid w:val="00730478"/>
    <w:rsid w:val="0073549F"/>
    <w:rsid w:val="00737131"/>
    <w:rsid w:val="00737698"/>
    <w:rsid w:val="00740F24"/>
    <w:rsid w:val="00744030"/>
    <w:rsid w:val="00745B7B"/>
    <w:rsid w:val="007476F2"/>
    <w:rsid w:val="00750EE5"/>
    <w:rsid w:val="007525CF"/>
    <w:rsid w:val="00766D26"/>
    <w:rsid w:val="007674AA"/>
    <w:rsid w:val="00776430"/>
    <w:rsid w:val="00776661"/>
    <w:rsid w:val="00776A1A"/>
    <w:rsid w:val="00785AF2"/>
    <w:rsid w:val="00786EB2"/>
    <w:rsid w:val="007970A2"/>
    <w:rsid w:val="007C79D7"/>
    <w:rsid w:val="007D6146"/>
    <w:rsid w:val="007D63AD"/>
    <w:rsid w:val="007E0BA4"/>
    <w:rsid w:val="007E4A5B"/>
    <w:rsid w:val="007F3F66"/>
    <w:rsid w:val="007F5E9B"/>
    <w:rsid w:val="00801A05"/>
    <w:rsid w:val="00805148"/>
    <w:rsid w:val="008052AD"/>
    <w:rsid w:val="00815104"/>
    <w:rsid w:val="0081680F"/>
    <w:rsid w:val="00820296"/>
    <w:rsid w:val="00823970"/>
    <w:rsid w:val="00824457"/>
    <w:rsid w:val="00824FE4"/>
    <w:rsid w:val="00827675"/>
    <w:rsid w:val="0082783F"/>
    <w:rsid w:val="008405BD"/>
    <w:rsid w:val="00844C9D"/>
    <w:rsid w:val="008451AC"/>
    <w:rsid w:val="0084564D"/>
    <w:rsid w:val="00845B0E"/>
    <w:rsid w:val="008552B4"/>
    <w:rsid w:val="00855960"/>
    <w:rsid w:val="0086519E"/>
    <w:rsid w:val="0087225E"/>
    <w:rsid w:val="0087454E"/>
    <w:rsid w:val="008769F5"/>
    <w:rsid w:val="008838DD"/>
    <w:rsid w:val="00887059"/>
    <w:rsid w:val="008940E9"/>
    <w:rsid w:val="00896B31"/>
    <w:rsid w:val="00896BAC"/>
    <w:rsid w:val="008B150C"/>
    <w:rsid w:val="008B1875"/>
    <w:rsid w:val="008B43B4"/>
    <w:rsid w:val="008B51EB"/>
    <w:rsid w:val="008C293C"/>
    <w:rsid w:val="008D3A3C"/>
    <w:rsid w:val="008D6012"/>
    <w:rsid w:val="008E0011"/>
    <w:rsid w:val="008E0101"/>
    <w:rsid w:val="008E2AE5"/>
    <w:rsid w:val="008E484F"/>
    <w:rsid w:val="008E7392"/>
    <w:rsid w:val="008E79D3"/>
    <w:rsid w:val="008F0886"/>
    <w:rsid w:val="008F3AA0"/>
    <w:rsid w:val="00901658"/>
    <w:rsid w:val="009071B2"/>
    <w:rsid w:val="00907DE8"/>
    <w:rsid w:val="009105A8"/>
    <w:rsid w:val="00916673"/>
    <w:rsid w:val="00920876"/>
    <w:rsid w:val="00921787"/>
    <w:rsid w:val="009227E1"/>
    <w:rsid w:val="00926DC0"/>
    <w:rsid w:val="00927320"/>
    <w:rsid w:val="00931C6F"/>
    <w:rsid w:val="00935FDC"/>
    <w:rsid w:val="00940896"/>
    <w:rsid w:val="0094411F"/>
    <w:rsid w:val="00945F7F"/>
    <w:rsid w:val="009470DF"/>
    <w:rsid w:val="00953434"/>
    <w:rsid w:val="00954316"/>
    <w:rsid w:val="009563A3"/>
    <w:rsid w:val="009616E9"/>
    <w:rsid w:val="00961C22"/>
    <w:rsid w:val="00961FA4"/>
    <w:rsid w:val="0096230F"/>
    <w:rsid w:val="009670A8"/>
    <w:rsid w:val="00970C03"/>
    <w:rsid w:val="00973B90"/>
    <w:rsid w:val="00975F1E"/>
    <w:rsid w:val="0098154D"/>
    <w:rsid w:val="00983EB5"/>
    <w:rsid w:val="00992DD9"/>
    <w:rsid w:val="0099425C"/>
    <w:rsid w:val="009944B6"/>
    <w:rsid w:val="00997F9F"/>
    <w:rsid w:val="009A001B"/>
    <w:rsid w:val="009A2934"/>
    <w:rsid w:val="009A396B"/>
    <w:rsid w:val="009A480A"/>
    <w:rsid w:val="009A5325"/>
    <w:rsid w:val="009A57DC"/>
    <w:rsid w:val="009A681F"/>
    <w:rsid w:val="009C2120"/>
    <w:rsid w:val="009C3D48"/>
    <w:rsid w:val="009C6325"/>
    <w:rsid w:val="009D055E"/>
    <w:rsid w:val="009D16B9"/>
    <w:rsid w:val="009D351E"/>
    <w:rsid w:val="009D4C5E"/>
    <w:rsid w:val="009F1FAA"/>
    <w:rsid w:val="00A00E99"/>
    <w:rsid w:val="00A0177F"/>
    <w:rsid w:val="00A04997"/>
    <w:rsid w:val="00A05641"/>
    <w:rsid w:val="00A103A0"/>
    <w:rsid w:val="00A11E5C"/>
    <w:rsid w:val="00A153BD"/>
    <w:rsid w:val="00A217DF"/>
    <w:rsid w:val="00A25481"/>
    <w:rsid w:val="00A31E22"/>
    <w:rsid w:val="00A353C9"/>
    <w:rsid w:val="00A40237"/>
    <w:rsid w:val="00A5087C"/>
    <w:rsid w:val="00A521B2"/>
    <w:rsid w:val="00A526B6"/>
    <w:rsid w:val="00A54965"/>
    <w:rsid w:val="00A54C07"/>
    <w:rsid w:val="00A60480"/>
    <w:rsid w:val="00A64BD3"/>
    <w:rsid w:val="00A66722"/>
    <w:rsid w:val="00A70CEA"/>
    <w:rsid w:val="00A70FB4"/>
    <w:rsid w:val="00A752EC"/>
    <w:rsid w:val="00A83458"/>
    <w:rsid w:val="00A85032"/>
    <w:rsid w:val="00A8646F"/>
    <w:rsid w:val="00A909E1"/>
    <w:rsid w:val="00A9787D"/>
    <w:rsid w:val="00AA1BFE"/>
    <w:rsid w:val="00AA3AB9"/>
    <w:rsid w:val="00AB016A"/>
    <w:rsid w:val="00AB02CD"/>
    <w:rsid w:val="00AB7CBA"/>
    <w:rsid w:val="00AC18AC"/>
    <w:rsid w:val="00AC3441"/>
    <w:rsid w:val="00AC7897"/>
    <w:rsid w:val="00AD0E89"/>
    <w:rsid w:val="00AE2A1C"/>
    <w:rsid w:val="00AE30AE"/>
    <w:rsid w:val="00AE687E"/>
    <w:rsid w:val="00AF183A"/>
    <w:rsid w:val="00AF1E91"/>
    <w:rsid w:val="00AF311F"/>
    <w:rsid w:val="00AF72DB"/>
    <w:rsid w:val="00B00605"/>
    <w:rsid w:val="00B00843"/>
    <w:rsid w:val="00B011D6"/>
    <w:rsid w:val="00B018A5"/>
    <w:rsid w:val="00B025ED"/>
    <w:rsid w:val="00B14ABB"/>
    <w:rsid w:val="00B21F2C"/>
    <w:rsid w:val="00B25D5F"/>
    <w:rsid w:val="00B275B8"/>
    <w:rsid w:val="00B314FB"/>
    <w:rsid w:val="00B33A17"/>
    <w:rsid w:val="00B356DB"/>
    <w:rsid w:val="00B419F4"/>
    <w:rsid w:val="00B4204A"/>
    <w:rsid w:val="00B42D31"/>
    <w:rsid w:val="00B436E4"/>
    <w:rsid w:val="00B44CC0"/>
    <w:rsid w:val="00B46E10"/>
    <w:rsid w:val="00B50708"/>
    <w:rsid w:val="00B51AD9"/>
    <w:rsid w:val="00B60EF8"/>
    <w:rsid w:val="00B63467"/>
    <w:rsid w:val="00B65017"/>
    <w:rsid w:val="00B6674B"/>
    <w:rsid w:val="00B67A51"/>
    <w:rsid w:val="00B7091E"/>
    <w:rsid w:val="00B71E95"/>
    <w:rsid w:val="00B822E7"/>
    <w:rsid w:val="00B834FF"/>
    <w:rsid w:val="00B84F2C"/>
    <w:rsid w:val="00B856E5"/>
    <w:rsid w:val="00B871FF"/>
    <w:rsid w:val="00B90512"/>
    <w:rsid w:val="00B917AA"/>
    <w:rsid w:val="00B97F8B"/>
    <w:rsid w:val="00BA6100"/>
    <w:rsid w:val="00BB01C1"/>
    <w:rsid w:val="00BB0827"/>
    <w:rsid w:val="00BB27E9"/>
    <w:rsid w:val="00BB6694"/>
    <w:rsid w:val="00BC1703"/>
    <w:rsid w:val="00BC284E"/>
    <w:rsid w:val="00BC7065"/>
    <w:rsid w:val="00BC7858"/>
    <w:rsid w:val="00BD0785"/>
    <w:rsid w:val="00BD4CB8"/>
    <w:rsid w:val="00BD509A"/>
    <w:rsid w:val="00BD6500"/>
    <w:rsid w:val="00BE0E6C"/>
    <w:rsid w:val="00BE1184"/>
    <w:rsid w:val="00BE360A"/>
    <w:rsid w:val="00BE3769"/>
    <w:rsid w:val="00BE4A8D"/>
    <w:rsid w:val="00BE51E4"/>
    <w:rsid w:val="00BE68EC"/>
    <w:rsid w:val="00BF2CA9"/>
    <w:rsid w:val="00BF5956"/>
    <w:rsid w:val="00BF63B7"/>
    <w:rsid w:val="00BF6FD2"/>
    <w:rsid w:val="00C02C80"/>
    <w:rsid w:val="00C04C24"/>
    <w:rsid w:val="00C05892"/>
    <w:rsid w:val="00C06EE7"/>
    <w:rsid w:val="00C10DF8"/>
    <w:rsid w:val="00C11558"/>
    <w:rsid w:val="00C12388"/>
    <w:rsid w:val="00C1265E"/>
    <w:rsid w:val="00C14BF1"/>
    <w:rsid w:val="00C16C95"/>
    <w:rsid w:val="00C212B9"/>
    <w:rsid w:val="00C27F92"/>
    <w:rsid w:val="00C30211"/>
    <w:rsid w:val="00C3211C"/>
    <w:rsid w:val="00C32A8E"/>
    <w:rsid w:val="00C35487"/>
    <w:rsid w:val="00C40EC8"/>
    <w:rsid w:val="00C454A1"/>
    <w:rsid w:val="00C45A23"/>
    <w:rsid w:val="00C45D8C"/>
    <w:rsid w:val="00C46296"/>
    <w:rsid w:val="00C53CE4"/>
    <w:rsid w:val="00C53DC5"/>
    <w:rsid w:val="00C5511A"/>
    <w:rsid w:val="00C55157"/>
    <w:rsid w:val="00C716B6"/>
    <w:rsid w:val="00C72D2A"/>
    <w:rsid w:val="00C76645"/>
    <w:rsid w:val="00C774DD"/>
    <w:rsid w:val="00C77B64"/>
    <w:rsid w:val="00C80B9D"/>
    <w:rsid w:val="00C80E8C"/>
    <w:rsid w:val="00C822E2"/>
    <w:rsid w:val="00C82564"/>
    <w:rsid w:val="00C86DEC"/>
    <w:rsid w:val="00C93350"/>
    <w:rsid w:val="00C94727"/>
    <w:rsid w:val="00C95472"/>
    <w:rsid w:val="00C96653"/>
    <w:rsid w:val="00C97362"/>
    <w:rsid w:val="00CA3900"/>
    <w:rsid w:val="00CA4979"/>
    <w:rsid w:val="00CB3FA3"/>
    <w:rsid w:val="00CB424C"/>
    <w:rsid w:val="00CC176E"/>
    <w:rsid w:val="00CC22CD"/>
    <w:rsid w:val="00CC7379"/>
    <w:rsid w:val="00CD4675"/>
    <w:rsid w:val="00CD53C9"/>
    <w:rsid w:val="00CE133D"/>
    <w:rsid w:val="00CE1A1B"/>
    <w:rsid w:val="00CE3C8A"/>
    <w:rsid w:val="00CE3DB0"/>
    <w:rsid w:val="00CE5B49"/>
    <w:rsid w:val="00CF2EC8"/>
    <w:rsid w:val="00CF6A66"/>
    <w:rsid w:val="00CF752C"/>
    <w:rsid w:val="00D00279"/>
    <w:rsid w:val="00D0269D"/>
    <w:rsid w:val="00D03BC9"/>
    <w:rsid w:val="00D12931"/>
    <w:rsid w:val="00D253CA"/>
    <w:rsid w:val="00D25F77"/>
    <w:rsid w:val="00D27EC4"/>
    <w:rsid w:val="00D343DE"/>
    <w:rsid w:val="00D35604"/>
    <w:rsid w:val="00D35723"/>
    <w:rsid w:val="00D35821"/>
    <w:rsid w:val="00D360FE"/>
    <w:rsid w:val="00D365F1"/>
    <w:rsid w:val="00D36EEE"/>
    <w:rsid w:val="00D403A4"/>
    <w:rsid w:val="00D41A5D"/>
    <w:rsid w:val="00D429F7"/>
    <w:rsid w:val="00D42C4B"/>
    <w:rsid w:val="00D46122"/>
    <w:rsid w:val="00D465C3"/>
    <w:rsid w:val="00D46966"/>
    <w:rsid w:val="00D46B38"/>
    <w:rsid w:val="00D46E38"/>
    <w:rsid w:val="00D50120"/>
    <w:rsid w:val="00D501C6"/>
    <w:rsid w:val="00D510A6"/>
    <w:rsid w:val="00D517CB"/>
    <w:rsid w:val="00D54F90"/>
    <w:rsid w:val="00D56F97"/>
    <w:rsid w:val="00D7523D"/>
    <w:rsid w:val="00D756C8"/>
    <w:rsid w:val="00D76BEE"/>
    <w:rsid w:val="00D77C09"/>
    <w:rsid w:val="00D81FEF"/>
    <w:rsid w:val="00D835AD"/>
    <w:rsid w:val="00D85EFB"/>
    <w:rsid w:val="00D92055"/>
    <w:rsid w:val="00D960FB"/>
    <w:rsid w:val="00DA338D"/>
    <w:rsid w:val="00DB5061"/>
    <w:rsid w:val="00DC4600"/>
    <w:rsid w:val="00DC632B"/>
    <w:rsid w:val="00DD1776"/>
    <w:rsid w:val="00DD2400"/>
    <w:rsid w:val="00DD29CE"/>
    <w:rsid w:val="00DE0CC6"/>
    <w:rsid w:val="00DE2941"/>
    <w:rsid w:val="00DE67D9"/>
    <w:rsid w:val="00DE7958"/>
    <w:rsid w:val="00DF5CF2"/>
    <w:rsid w:val="00DF671B"/>
    <w:rsid w:val="00E02BC0"/>
    <w:rsid w:val="00E0333D"/>
    <w:rsid w:val="00E0386B"/>
    <w:rsid w:val="00E12786"/>
    <w:rsid w:val="00E134E4"/>
    <w:rsid w:val="00E21051"/>
    <w:rsid w:val="00E210DC"/>
    <w:rsid w:val="00E260CB"/>
    <w:rsid w:val="00E40717"/>
    <w:rsid w:val="00E43A91"/>
    <w:rsid w:val="00E45E30"/>
    <w:rsid w:val="00E4623F"/>
    <w:rsid w:val="00E506A7"/>
    <w:rsid w:val="00E53BD2"/>
    <w:rsid w:val="00E54C76"/>
    <w:rsid w:val="00E603E1"/>
    <w:rsid w:val="00E705FA"/>
    <w:rsid w:val="00E712CD"/>
    <w:rsid w:val="00E714CE"/>
    <w:rsid w:val="00E74A34"/>
    <w:rsid w:val="00E74FDE"/>
    <w:rsid w:val="00E75A06"/>
    <w:rsid w:val="00E80B72"/>
    <w:rsid w:val="00E84553"/>
    <w:rsid w:val="00E85575"/>
    <w:rsid w:val="00E944CA"/>
    <w:rsid w:val="00EA1E99"/>
    <w:rsid w:val="00EA30DD"/>
    <w:rsid w:val="00EA48CD"/>
    <w:rsid w:val="00EB3B58"/>
    <w:rsid w:val="00EB3EA8"/>
    <w:rsid w:val="00EB5AE5"/>
    <w:rsid w:val="00EC0522"/>
    <w:rsid w:val="00EC2564"/>
    <w:rsid w:val="00EC2F48"/>
    <w:rsid w:val="00ED1836"/>
    <w:rsid w:val="00ED3326"/>
    <w:rsid w:val="00ED6F40"/>
    <w:rsid w:val="00EE3959"/>
    <w:rsid w:val="00EE75FD"/>
    <w:rsid w:val="00EF018C"/>
    <w:rsid w:val="00EF1CDB"/>
    <w:rsid w:val="00EF26FA"/>
    <w:rsid w:val="00EF3C6E"/>
    <w:rsid w:val="00EF65A7"/>
    <w:rsid w:val="00EF6DD4"/>
    <w:rsid w:val="00EF7BA2"/>
    <w:rsid w:val="00F00A5A"/>
    <w:rsid w:val="00F01260"/>
    <w:rsid w:val="00F047D8"/>
    <w:rsid w:val="00F0614F"/>
    <w:rsid w:val="00F14814"/>
    <w:rsid w:val="00F15ABB"/>
    <w:rsid w:val="00F214CD"/>
    <w:rsid w:val="00F25394"/>
    <w:rsid w:val="00F31154"/>
    <w:rsid w:val="00F35BDF"/>
    <w:rsid w:val="00F36664"/>
    <w:rsid w:val="00F41538"/>
    <w:rsid w:val="00F41866"/>
    <w:rsid w:val="00F454FC"/>
    <w:rsid w:val="00F45B6A"/>
    <w:rsid w:val="00F545AF"/>
    <w:rsid w:val="00F606CB"/>
    <w:rsid w:val="00F6229F"/>
    <w:rsid w:val="00F70598"/>
    <w:rsid w:val="00F709A0"/>
    <w:rsid w:val="00F715FD"/>
    <w:rsid w:val="00F73140"/>
    <w:rsid w:val="00F74345"/>
    <w:rsid w:val="00F749AB"/>
    <w:rsid w:val="00F75F0B"/>
    <w:rsid w:val="00F8061A"/>
    <w:rsid w:val="00F91A5E"/>
    <w:rsid w:val="00FA00C8"/>
    <w:rsid w:val="00FA7AA2"/>
    <w:rsid w:val="00FB4D19"/>
    <w:rsid w:val="00FB6EE1"/>
    <w:rsid w:val="00FC181F"/>
    <w:rsid w:val="00FC41AB"/>
    <w:rsid w:val="00FC4ABA"/>
    <w:rsid w:val="00FC62C6"/>
    <w:rsid w:val="00FD073F"/>
    <w:rsid w:val="00FD0AFA"/>
    <w:rsid w:val="00FD6E95"/>
    <w:rsid w:val="00FE123F"/>
    <w:rsid w:val="00FE2099"/>
    <w:rsid w:val="00FE32BD"/>
    <w:rsid w:val="00FE5228"/>
    <w:rsid w:val="00FE6BD6"/>
    <w:rsid w:val="00FE7CA8"/>
    <w:rsid w:val="00FF03D8"/>
    <w:rsid w:val="00FF5362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0BA41"/>
  <w15:docId w15:val="{C4517278-922B-4FFB-8897-8F21B5B3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74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143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43265"/>
    <w:rPr>
      <w:sz w:val="20"/>
      <w:szCs w:val="20"/>
    </w:rPr>
  </w:style>
  <w:style w:type="paragraph" w:styleId="aa">
    <w:name w:val="annotation subject"/>
    <w:basedOn w:val="a8"/>
    <w:next w:val="a8"/>
    <w:semiHidden/>
    <w:rsid w:val="00143265"/>
    <w:rPr>
      <w:b/>
      <w:bCs/>
    </w:rPr>
  </w:style>
  <w:style w:type="character" w:styleId="ab">
    <w:name w:val="Emphasis"/>
    <w:uiPriority w:val="20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c">
    <w:name w:val="Normal (Web)"/>
    <w:basedOn w:val="a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Hyperlink"/>
    <w:rsid w:val="00525CF8"/>
    <w:rPr>
      <w:rFonts w:cs="Times New Roman"/>
      <w:color w:val="0000FF"/>
      <w:u w:val="single"/>
    </w:rPr>
  </w:style>
  <w:style w:type="paragraph" w:customStyle="1" w:styleId="ae">
    <w:name w:val="Знак"/>
    <w:basedOn w:val="a"/>
    <w:rsid w:val="00B7091E"/>
    <w:pPr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BC785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7406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f1">
    <w:name w:val="Body Text"/>
    <w:basedOn w:val="a"/>
    <w:link w:val="af2"/>
    <w:unhideWhenUsed/>
    <w:rsid w:val="00C27F92"/>
    <w:pPr>
      <w:suppressAutoHyphens/>
      <w:autoSpaceDE w:val="0"/>
      <w:spacing w:after="120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f2">
    <w:name w:val="Основной текст Знак"/>
    <w:link w:val="af1"/>
    <w:rsid w:val="00C27F92"/>
    <w:rPr>
      <w:rFonts w:ascii="Arial" w:hAnsi="Arial" w:cs="Arial"/>
      <w:lang w:val="en-GB" w:eastAsia="ar-SA"/>
    </w:rPr>
  </w:style>
  <w:style w:type="paragraph" w:styleId="af3">
    <w:name w:val="endnote text"/>
    <w:basedOn w:val="a"/>
    <w:link w:val="af4"/>
    <w:uiPriority w:val="99"/>
    <w:unhideWhenUsed/>
    <w:rsid w:val="005768A8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768A8"/>
    <w:rPr>
      <w:lang w:val="ru-RU" w:eastAsia="ru-RU"/>
    </w:rPr>
  </w:style>
  <w:style w:type="character" w:styleId="af5">
    <w:name w:val="endnote reference"/>
    <w:uiPriority w:val="99"/>
    <w:unhideWhenUsed/>
    <w:rsid w:val="005768A8"/>
    <w:rPr>
      <w:vertAlign w:val="superscript"/>
    </w:rPr>
  </w:style>
  <w:style w:type="paragraph" w:styleId="af6">
    <w:name w:val="List Paragraph"/>
    <w:basedOn w:val="a"/>
    <w:qFormat/>
    <w:rsid w:val="004B60E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B44CC0"/>
    <w:rPr>
      <w:sz w:val="24"/>
      <w:szCs w:val="24"/>
      <w:lang w:val="ru-RU" w:eastAsia="ru-RU"/>
    </w:rPr>
  </w:style>
  <w:style w:type="paragraph" w:styleId="af7">
    <w:name w:val="footnote text"/>
    <w:basedOn w:val="a"/>
    <w:link w:val="af8"/>
    <w:uiPriority w:val="99"/>
    <w:rsid w:val="001B59A1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1B59A1"/>
    <w:rPr>
      <w:lang w:val="ru-RU" w:eastAsia="ru-RU"/>
    </w:rPr>
  </w:style>
  <w:style w:type="character" w:styleId="af9">
    <w:name w:val="footnote reference"/>
    <w:uiPriority w:val="99"/>
    <w:rsid w:val="001B59A1"/>
    <w:rPr>
      <w:vertAlign w:val="superscript"/>
    </w:rPr>
  </w:style>
  <w:style w:type="character" w:styleId="afa">
    <w:name w:val="Strong"/>
    <w:uiPriority w:val="22"/>
    <w:qFormat/>
    <w:rsid w:val="001B02FA"/>
    <w:rPr>
      <w:b/>
      <w:bCs/>
    </w:rPr>
  </w:style>
  <w:style w:type="character" w:customStyle="1" w:styleId="shorttext">
    <w:name w:val="short_text"/>
    <w:rsid w:val="001B02FA"/>
  </w:style>
  <w:style w:type="character" w:customStyle="1" w:styleId="hps">
    <w:name w:val="hps"/>
    <w:rsid w:val="001B02FA"/>
  </w:style>
  <w:style w:type="character" w:customStyle="1" w:styleId="a4">
    <w:name w:val="Верхний колонтитул Знак"/>
    <w:link w:val="a3"/>
    <w:uiPriority w:val="99"/>
    <w:rsid w:val="00827675"/>
    <w:rPr>
      <w:sz w:val="24"/>
      <w:szCs w:val="24"/>
      <w:lang w:val="ru-RU" w:eastAsia="ru-RU"/>
    </w:rPr>
  </w:style>
  <w:style w:type="paragraph" w:styleId="afb">
    <w:name w:val="No Spacing"/>
    <w:uiPriority w:val="1"/>
    <w:qFormat/>
    <w:rsid w:val="002815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примечания Знак"/>
    <w:link w:val="a8"/>
    <w:uiPriority w:val="99"/>
    <w:semiHidden/>
    <w:rsid w:val="00FC4ABA"/>
    <w:rPr>
      <w:lang w:val="ru-RU" w:eastAsia="ru-RU"/>
    </w:rPr>
  </w:style>
  <w:style w:type="paragraph" w:styleId="afc">
    <w:name w:val="Body Text Indent"/>
    <w:basedOn w:val="a"/>
    <w:link w:val="afd"/>
    <w:uiPriority w:val="99"/>
    <w:unhideWhenUsed/>
    <w:rsid w:val="00FC4AB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FC4ABA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F606C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-ukrain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tov@ti-ukra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tov@ti-ukr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tov@ti-ukrain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56A1-67DF-4B7B-8D09-447AE9B5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11194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Катя</cp:lastModifiedBy>
  <cp:revision>10</cp:revision>
  <cp:lastPrinted>2015-01-16T08:47:00Z</cp:lastPrinted>
  <dcterms:created xsi:type="dcterms:W3CDTF">2017-05-29T13:51:00Z</dcterms:created>
  <dcterms:modified xsi:type="dcterms:W3CDTF">2017-05-31T08:05:00Z</dcterms:modified>
</cp:coreProperties>
</file>