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2A" w:rsidRPr="00F24652" w:rsidRDefault="00BD1B2A" w:rsidP="00BD1B2A">
      <w:pPr>
        <w:spacing w:after="0"/>
        <w:jc w:val="both"/>
        <w:rPr>
          <w:rFonts w:ascii="Calibri" w:eastAsia="Calibri" w:hAnsi="Calibri" w:cs="Calibri"/>
          <w:lang w:val="uk-UA"/>
        </w:rPr>
      </w:pPr>
      <w:r w:rsidRPr="00F24652">
        <w:rPr>
          <w:rFonts w:ascii="Calibri" w:hAnsi="Calibri"/>
          <w:lang w:val="uk-UA"/>
        </w:rPr>
        <w:t>ПРЕС-РЕЛІЗ</w:t>
      </w:r>
    </w:p>
    <w:p w:rsidR="00BD1B2A" w:rsidRPr="00F24652" w:rsidRDefault="00BD1B2A" w:rsidP="00BD1B2A">
      <w:pPr>
        <w:spacing w:after="0"/>
        <w:jc w:val="both"/>
        <w:rPr>
          <w:rFonts w:ascii="Calibri" w:hAnsi="Calibri"/>
          <w:lang w:val="uk-UA"/>
        </w:rPr>
      </w:pPr>
      <w:r w:rsidRPr="00F24652">
        <w:rPr>
          <w:rFonts w:ascii="Calibri" w:hAnsi="Calibri"/>
          <w:lang w:val="uk-UA"/>
        </w:rPr>
        <w:t>10. 10</w:t>
      </w:r>
      <w:r w:rsidRPr="00F24652">
        <w:rPr>
          <w:rFonts w:ascii="Calibri" w:hAnsi="Calibri"/>
          <w:lang w:val="uk-UA"/>
        </w:rPr>
        <w:t xml:space="preserve">.2017 </w:t>
      </w:r>
    </w:p>
    <w:p w:rsidR="00F24652" w:rsidRPr="00F24652" w:rsidRDefault="00F24652" w:rsidP="00BD1B2A">
      <w:pPr>
        <w:spacing w:after="0"/>
        <w:jc w:val="both"/>
        <w:rPr>
          <w:rFonts w:ascii="Calibri" w:hAnsi="Calibri"/>
          <w:lang w:val="uk-UA"/>
        </w:rPr>
      </w:pPr>
    </w:p>
    <w:p w:rsidR="00913C6C" w:rsidRPr="00F24652" w:rsidRDefault="00913C6C" w:rsidP="002A2408">
      <w:pPr>
        <w:shd w:val="clear" w:color="auto" w:fill="FFFFFF"/>
        <w:jc w:val="center"/>
        <w:rPr>
          <w:rFonts w:ascii="Arial" w:eastAsia="Times New Roman" w:hAnsi="Arial" w:cs="Arial"/>
          <w:b/>
          <w:lang w:val="uk-UA"/>
        </w:rPr>
      </w:pPr>
      <w:r w:rsidRPr="00F24652">
        <w:rPr>
          <w:rFonts w:ascii="Arial" w:eastAsia="Times New Roman" w:hAnsi="Arial" w:cs="Arial"/>
          <w:b/>
          <w:lang w:val="uk-UA"/>
        </w:rPr>
        <w:t xml:space="preserve">Голова </w:t>
      </w:r>
      <w:r w:rsidR="00BD1B2A" w:rsidRPr="00F24652">
        <w:rPr>
          <w:rFonts w:ascii="Arial" w:eastAsia="Times New Roman" w:hAnsi="Arial" w:cs="Arial"/>
          <w:b/>
          <w:lang w:val="uk-UA"/>
        </w:rPr>
        <w:t>П</w:t>
      </w:r>
      <w:r w:rsidRPr="00F24652">
        <w:rPr>
          <w:rFonts w:ascii="Arial" w:eastAsia="Times New Roman" w:hAnsi="Arial" w:cs="Arial"/>
          <w:b/>
          <w:lang w:val="uk-UA"/>
        </w:rPr>
        <w:t>равління ТІ Україна вийшов зі складу комісії по відбору членів НАЗК</w:t>
      </w:r>
    </w:p>
    <w:p w:rsidR="00913C6C" w:rsidRPr="00F24652" w:rsidRDefault="00913C6C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i/>
          <w:sz w:val="20"/>
          <w:szCs w:val="20"/>
          <w:lang w:val="uk-UA"/>
        </w:rPr>
      </w:pP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10 жовтня 2017 року голова правління </w:t>
      </w:r>
      <w:proofErr w:type="spellStart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>Transparency</w:t>
      </w:r>
      <w:proofErr w:type="spellEnd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>International</w:t>
      </w:r>
      <w:proofErr w:type="spellEnd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Україна Андрій </w:t>
      </w:r>
      <w:proofErr w:type="spellStart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>Марусов</w:t>
      </w:r>
      <w:proofErr w:type="spellEnd"/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заявив про свій вихід зі складу </w:t>
      </w:r>
      <w:r w:rsidR="00AF0D1C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конкурсної 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комісії з відбору </w:t>
      </w:r>
      <w:r w:rsidR="00AF0D1C" w:rsidRPr="00F24652">
        <w:rPr>
          <w:rFonts w:ascii="Arial" w:eastAsia="Times New Roman" w:hAnsi="Arial" w:cs="Arial"/>
          <w:i/>
          <w:sz w:val="20"/>
          <w:szCs w:val="20"/>
          <w:lang w:val="uk-UA"/>
        </w:rPr>
        <w:t>кандидатів на посади членів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Національного агентства з </w:t>
      </w:r>
      <w:r w:rsidR="00AF0D1C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питань 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запобігання корупції. </w:t>
      </w:r>
    </w:p>
    <w:p w:rsidR="00BD1B2A" w:rsidRPr="00F24652" w:rsidRDefault="00BD1B2A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i/>
          <w:sz w:val="20"/>
          <w:szCs w:val="20"/>
          <w:lang w:val="uk-UA"/>
        </w:rPr>
      </w:pPr>
    </w:p>
    <w:p w:rsidR="00B77330" w:rsidRPr="00F24652" w:rsidRDefault="00AF0D1C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Представництво міжнародної антикорупційної мережі </w:t>
      </w: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Transparency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International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в Україні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п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ідкреслює, що </w:t>
      </w:r>
      <w:r w:rsidR="00F37F32">
        <w:rPr>
          <w:rFonts w:ascii="Arial" w:eastAsia="Times New Roman" w:hAnsi="Arial" w:cs="Arial"/>
          <w:sz w:val="20"/>
          <w:szCs w:val="20"/>
          <w:lang w:val="uk-UA"/>
        </w:rPr>
        <w:t>важлива</w:t>
      </w:r>
      <w:bookmarkStart w:id="0" w:name="_GoBack"/>
      <w:bookmarkEnd w:id="0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роль громадськості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у взаємодії з </w:t>
      </w:r>
      <w:r w:rsidR="00BD1B2A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новоствореними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антикорупційними органами – це </w:t>
      </w:r>
      <w:r w:rsidR="00BD1B2A" w:rsidRPr="00F24652">
        <w:rPr>
          <w:rFonts w:ascii="Arial" w:eastAsia="Times New Roman" w:hAnsi="Arial" w:cs="Arial"/>
          <w:sz w:val="20"/>
          <w:szCs w:val="20"/>
          <w:lang w:val="uk-UA"/>
        </w:rPr>
        <w:t>забезпечення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відкритості та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еф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е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ктивн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ості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процесу відбору кандидатів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до них. На</w:t>
      </w:r>
      <w:r w:rsidR="002A2EB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жаль,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через бажання влади встановити контроль над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Національн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им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агентств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ом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з питань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>запобігання корупції</w:t>
      </w:r>
      <w:r w:rsidR="00F24652">
        <w:rPr>
          <w:rFonts w:ascii="Arial" w:eastAsia="Times New Roman" w:hAnsi="Arial" w:cs="Arial"/>
          <w:sz w:val="20"/>
          <w:szCs w:val="20"/>
          <w:lang w:val="uk-UA"/>
        </w:rPr>
        <w:t>,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відбув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ся ряд критичних для якості конкурсу </w:t>
      </w:r>
      <w:r w:rsidR="006D409C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на посади членів НАЗК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подій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BD1B2A" w:rsidRPr="00F24652">
        <w:rPr>
          <w:rFonts w:ascii="Arial" w:eastAsia="Times New Roman" w:hAnsi="Arial" w:cs="Arial"/>
          <w:sz w:val="20"/>
          <w:szCs w:val="20"/>
          <w:lang w:val="uk-UA"/>
        </w:rPr>
        <w:t>Однією з них стало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голосування за </w:t>
      </w:r>
      <w:r w:rsidR="00021825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кандидатуру 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Олександра </w:t>
      </w:r>
      <w:proofErr w:type="spellStart"/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>Скопича</w:t>
      </w:r>
      <w:proofErr w:type="spellEnd"/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його безпосереднім керівником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Костянтином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Ващенко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, при </w:t>
      </w:r>
      <w:r w:rsidR="00021825" w:rsidRPr="00F24652">
        <w:rPr>
          <w:rFonts w:ascii="Arial" w:eastAsia="Times New Roman" w:hAnsi="Arial" w:cs="Arial"/>
          <w:sz w:val="20"/>
          <w:szCs w:val="20"/>
          <w:lang w:val="uk-UA"/>
        </w:rPr>
        <w:t>якому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суд не побачив конфлікту інтересів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. Не менше сумнівів викликає п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отрапляння до НАЗК 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>та подальше головування Наталії Корчак, яка не володі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є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достатніми фаховими компетенціями та професійним досвідом для подібної посади, 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але є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близьк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ою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до політиків з партії «Народний Фронт»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. Подібна політична ангажованість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є неприпустим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ою для керівника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головн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ого антикорупційного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превентивного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орган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у</w:t>
      </w:r>
      <w:r w:rsidR="00F24652">
        <w:rPr>
          <w:rFonts w:ascii="Arial" w:eastAsia="Times New Roman" w:hAnsi="Arial" w:cs="Arial"/>
          <w:sz w:val="20"/>
          <w:szCs w:val="20"/>
          <w:lang w:val="uk-UA"/>
        </w:rPr>
        <w:t xml:space="preserve"> країни</w:t>
      </w:r>
      <w:r w:rsidR="002A2408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Після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невдалих спроб 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Руслана </w:t>
      </w:r>
      <w:proofErr w:type="spellStart"/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>Рябошапки</w:t>
      </w:r>
      <w:proofErr w:type="spellEnd"/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налагодити роботу 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НАЗК та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його подальшого виходу з 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органу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відбулося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встановлення повного владного контролю над роботою 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>конкурсної комісії.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Це спричинило </w:t>
      </w:r>
      <w:proofErr w:type="spellStart"/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непо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>т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рапляння</w:t>
      </w:r>
      <w:proofErr w:type="spellEnd"/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 НАЗК </w:t>
      </w:r>
      <w:r w:rsidR="00021825" w:rsidRPr="00F24652">
        <w:rPr>
          <w:rFonts w:ascii="Arial" w:eastAsia="Times New Roman" w:hAnsi="Arial" w:cs="Arial"/>
          <w:sz w:val="20"/>
          <w:szCs w:val="20"/>
          <w:lang w:val="uk-UA"/>
        </w:rPr>
        <w:t>об’єктивно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сильних 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та професійних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кандидатів</w:t>
      </w:r>
      <w:r w:rsidR="00B77330" w:rsidRPr="00F24652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447436" w:rsidRPr="00F24652" w:rsidRDefault="00021825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Організація </w:t>
      </w: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Transparency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International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Україна визнає, що несе </w:t>
      </w:r>
      <w:proofErr w:type="spellStart"/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співвід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повід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альніс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ть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за ситуацію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 НАЗК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, адже супроводжувала створення цього органу від рівня законопроекту,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та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зазначає, що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робил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а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все від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себе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залежне</w:t>
      </w:r>
      <w:r w:rsidR="002A2EB5">
        <w:rPr>
          <w:rFonts w:ascii="Arial" w:eastAsia="Times New Roman" w:hAnsi="Arial" w:cs="Arial"/>
          <w:sz w:val="20"/>
          <w:szCs w:val="20"/>
          <w:lang w:val="uk-UA"/>
        </w:rPr>
        <w:t>,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>аби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змінити ситуацію. Натомість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У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ряд проігнорував </w:t>
      </w:r>
      <w:hyperlink r:id="rId7" w:history="1">
        <w:r w:rsidR="00447436" w:rsidRPr="00F24652">
          <w:rPr>
            <w:rStyle w:val="a3"/>
            <w:rFonts w:ascii="Arial" w:eastAsia="Times New Roman" w:hAnsi="Arial" w:cs="Arial"/>
            <w:color w:val="2E74B5" w:themeColor="accent1" w:themeShade="BF"/>
            <w:sz w:val="20"/>
            <w:szCs w:val="20"/>
            <w:lang w:val="uk-UA"/>
          </w:rPr>
          <w:t>заклик</w:t>
        </w:r>
      </w:hyperlink>
      <w:r w:rsidR="00447436" w:rsidRPr="00F24652">
        <w:rPr>
          <w:rFonts w:ascii="Arial" w:eastAsia="Times New Roman" w:hAnsi="Arial" w:cs="Arial"/>
          <w:color w:val="2E74B5" w:themeColor="accent1" w:themeShade="BF"/>
          <w:sz w:val="20"/>
          <w:szCs w:val="20"/>
          <w:lang w:val="uk-UA"/>
        </w:rPr>
        <w:t xml:space="preserve">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ТІ Україна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розглянути питання відповіда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льності за зриви впровадження електронного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декларування в серпні та вересні 2015 року, а потім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залишав без реакції заяви ТІ Україна про </w:t>
      </w:r>
      <w:hyperlink r:id="rId8" w:history="1">
        <w:r w:rsidR="00447436" w:rsidRPr="00F24652">
          <w:rPr>
            <w:rStyle w:val="a3"/>
            <w:rFonts w:ascii="Arial" w:eastAsia="Times New Roman" w:hAnsi="Arial" w:cs="Arial"/>
            <w:color w:val="2E74B5" w:themeColor="accent1" w:themeShade="BF"/>
            <w:sz w:val="20"/>
            <w:szCs w:val="20"/>
            <w:lang w:val="uk-UA"/>
          </w:rPr>
          <w:t>періодичні проблеми</w:t>
        </w:r>
      </w:hyperlink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з кожним новим етапом декларування. Відтак керівництво НАЗК не понесло жодної відповідальності, а </w:t>
      </w:r>
      <w:hyperlink r:id="rId9" w:history="1">
        <w:r w:rsidR="00447436" w:rsidRPr="00F24652">
          <w:rPr>
            <w:rStyle w:val="a3"/>
            <w:rFonts w:ascii="Arial" w:eastAsia="Times New Roman" w:hAnsi="Arial" w:cs="Arial"/>
            <w:color w:val="2E74B5" w:themeColor="accent1" w:themeShade="BF"/>
            <w:sz w:val="20"/>
            <w:szCs w:val="20"/>
            <w:lang w:val="uk-UA"/>
          </w:rPr>
          <w:t xml:space="preserve">заклик </w:t>
        </w:r>
        <w:r w:rsidRPr="00F24652">
          <w:rPr>
            <w:rStyle w:val="a3"/>
            <w:rFonts w:ascii="Arial" w:eastAsia="Times New Roman" w:hAnsi="Arial" w:cs="Arial"/>
            <w:color w:val="2E74B5" w:themeColor="accent1" w:themeShade="BF"/>
            <w:sz w:val="20"/>
            <w:szCs w:val="20"/>
            <w:lang w:val="uk-UA"/>
          </w:rPr>
          <w:t xml:space="preserve">громадськості  </w:t>
        </w:r>
        <w:r w:rsidR="00447436" w:rsidRPr="00F24652">
          <w:rPr>
            <w:rStyle w:val="a3"/>
            <w:rFonts w:ascii="Arial" w:eastAsia="Times New Roman" w:hAnsi="Arial" w:cs="Arial"/>
            <w:color w:val="2E74B5" w:themeColor="accent1" w:themeShade="BF"/>
            <w:sz w:val="20"/>
            <w:szCs w:val="20"/>
            <w:lang w:val="uk-UA"/>
          </w:rPr>
          <w:t>замінити його</w:t>
        </w:r>
      </w:hyperlink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шляхом прийняття змін до закону про НАЗК було проігноровано. 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>Наразі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влада взяла тактику на зміну керівництва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органу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, але в кулуарних спосіб 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-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через тиск та заміну діючого 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складу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на ще більш залежний</w:t>
      </w:r>
      <w:r w:rsidR="00CB13F7" w:rsidRPr="00F24652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BD1B2A" w:rsidRPr="00F24652" w:rsidRDefault="00CB13F7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i/>
          <w:sz w:val="20"/>
          <w:szCs w:val="20"/>
          <w:lang w:val="uk-UA"/>
        </w:rPr>
      </w:pP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Як пояснив </w:t>
      </w:r>
      <w:proofErr w:type="spellStart"/>
      <w:r w:rsidRPr="00F24652">
        <w:rPr>
          <w:rFonts w:ascii="Arial" w:eastAsia="Times New Roman" w:hAnsi="Arial" w:cs="Arial"/>
          <w:b/>
          <w:sz w:val="20"/>
          <w:szCs w:val="20"/>
          <w:lang w:val="uk-UA"/>
        </w:rPr>
        <w:t>Андрі</w:t>
      </w:r>
      <w:proofErr w:type="spellEnd"/>
      <w:r w:rsidRPr="00F24652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F24652">
        <w:rPr>
          <w:rFonts w:ascii="Arial" w:eastAsia="Times New Roman" w:hAnsi="Arial" w:cs="Arial"/>
          <w:b/>
          <w:sz w:val="20"/>
          <w:szCs w:val="20"/>
          <w:lang w:val="uk-UA"/>
        </w:rPr>
        <w:t>Марусов</w:t>
      </w:r>
      <w:proofErr w:type="spellEnd"/>
      <w:r w:rsidRPr="00F24652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B02A2F" w:rsidRPr="00F24652">
        <w:rPr>
          <w:rFonts w:ascii="Arial" w:eastAsia="Times New Roman" w:hAnsi="Arial" w:cs="Arial"/>
          <w:b/>
          <w:sz w:val="20"/>
          <w:szCs w:val="20"/>
          <w:lang w:val="uk-UA"/>
        </w:rPr>
        <w:t>голова П</w:t>
      </w:r>
      <w:r w:rsidRPr="00F24652">
        <w:rPr>
          <w:rFonts w:ascii="Arial" w:eastAsia="Times New Roman" w:hAnsi="Arial" w:cs="Arial"/>
          <w:b/>
          <w:sz w:val="20"/>
          <w:szCs w:val="20"/>
          <w:lang w:val="uk-UA"/>
        </w:rPr>
        <w:t>равління ТІ Україна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: 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>«Зважаючи на те, що один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голос не дає можливості суттєво впливати на процеси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в НАЗК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, 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>а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позицію нашої організації влада </w:t>
      </w:r>
      <w:r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демонстративно </w:t>
      </w:r>
      <w:r w:rsidR="002A2EB5">
        <w:rPr>
          <w:rFonts w:ascii="Arial" w:eastAsia="Times New Roman" w:hAnsi="Arial" w:cs="Arial"/>
          <w:i/>
          <w:sz w:val="20"/>
          <w:szCs w:val="20"/>
          <w:lang w:val="uk-UA"/>
        </w:rPr>
        <w:t xml:space="preserve">ігнорує, 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члени </w:t>
      </w:r>
      <w:r w:rsidR="00B02A2F" w:rsidRPr="00F24652">
        <w:rPr>
          <w:rFonts w:ascii="Arial" w:eastAsia="Times New Roman" w:hAnsi="Arial" w:cs="Arial"/>
          <w:i/>
          <w:sz w:val="20"/>
          <w:szCs w:val="20"/>
          <w:lang w:val="uk-UA"/>
        </w:rPr>
        <w:t>П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>равління ТІ Україна прийняли рішення про мій вихід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 з 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конкурсної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>комісії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. </w:t>
      </w:r>
      <w:r w:rsidR="00B02A2F" w:rsidRPr="00F24652">
        <w:rPr>
          <w:rFonts w:ascii="Arial" w:eastAsia="Times New Roman" w:hAnsi="Arial" w:cs="Arial"/>
          <w:i/>
          <w:sz w:val="20"/>
          <w:szCs w:val="20"/>
          <w:lang w:val="uk-UA"/>
        </w:rPr>
        <w:t>М</w:t>
      </w:r>
      <w:r w:rsidR="002A2EB5">
        <w:rPr>
          <w:rFonts w:ascii="Arial" w:eastAsia="Times New Roman" w:hAnsi="Arial" w:cs="Arial"/>
          <w:i/>
          <w:sz w:val="20"/>
          <w:szCs w:val="20"/>
          <w:lang w:val="uk-UA"/>
        </w:rPr>
        <w:t xml:space="preserve">и передбачаємо, що політично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залежне керівництво НАЗК 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може бути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>використ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аним для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>політичної боротьби</w:t>
      </w:r>
      <w:r w:rsidR="00BD1B2A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. Це прикро, адже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>функціонал агенції в пол</w:t>
      </w:r>
      <w:r w:rsidR="002A2EB5">
        <w:rPr>
          <w:rFonts w:ascii="Arial" w:eastAsia="Times New Roman" w:hAnsi="Arial" w:cs="Arial"/>
          <w:i/>
          <w:sz w:val="20"/>
          <w:szCs w:val="20"/>
          <w:lang w:val="uk-UA"/>
        </w:rPr>
        <w:t xml:space="preserve">ітично 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>вмотивованих руках може цілковито дискредитувати ідею запобігання корупції</w:t>
      </w:r>
      <w:r w:rsidR="00B02A2F" w:rsidRPr="00F24652">
        <w:rPr>
          <w:rFonts w:ascii="Arial" w:eastAsia="Times New Roman" w:hAnsi="Arial" w:cs="Arial"/>
          <w:i/>
          <w:sz w:val="20"/>
          <w:szCs w:val="20"/>
          <w:lang w:val="uk-UA"/>
        </w:rPr>
        <w:t>»</w:t>
      </w:r>
      <w:r w:rsidR="00447436" w:rsidRPr="00F24652">
        <w:rPr>
          <w:rFonts w:ascii="Arial" w:eastAsia="Times New Roman" w:hAnsi="Arial" w:cs="Arial"/>
          <w:i/>
          <w:sz w:val="20"/>
          <w:szCs w:val="20"/>
          <w:lang w:val="uk-UA"/>
        </w:rPr>
        <w:t xml:space="preserve">. </w:t>
      </w:r>
    </w:p>
    <w:p w:rsidR="009368FC" w:rsidRDefault="00BD1B2A" w:rsidP="00BD1B2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val="uk-UA"/>
        </w:rPr>
      </w:pP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Transparency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proofErr w:type="spellStart"/>
      <w:r w:rsidRPr="00F24652">
        <w:rPr>
          <w:rFonts w:ascii="Arial" w:eastAsia="Times New Roman" w:hAnsi="Arial" w:cs="Arial"/>
          <w:sz w:val="20"/>
          <w:szCs w:val="20"/>
          <w:lang w:val="uk-UA"/>
        </w:rPr>
        <w:t>International</w:t>
      </w:r>
      <w:proofErr w:type="spellEnd"/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2A2EB5">
        <w:rPr>
          <w:rFonts w:ascii="Arial" w:eastAsia="Times New Roman" w:hAnsi="Arial" w:cs="Arial"/>
          <w:sz w:val="20"/>
          <w:szCs w:val="20"/>
          <w:lang w:val="uk-UA"/>
        </w:rPr>
        <w:t xml:space="preserve">Україна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зазначає, що уважно відслідковуватиме подальшу роботу НАЗК та п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ро будь-які випадки політизації роботи 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органу 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невідкладно інформуватиме 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>українськ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у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та світов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у</w:t>
      </w:r>
      <w:r w:rsidR="00447436" w:rsidRPr="00F24652">
        <w:rPr>
          <w:rFonts w:ascii="Arial" w:eastAsia="Times New Roman" w:hAnsi="Arial" w:cs="Arial"/>
          <w:sz w:val="20"/>
          <w:szCs w:val="20"/>
          <w:lang w:val="uk-UA"/>
        </w:rPr>
        <w:t xml:space="preserve"> громадськ</w:t>
      </w:r>
      <w:r w:rsidR="00B02A2F" w:rsidRPr="00F24652">
        <w:rPr>
          <w:rFonts w:ascii="Arial" w:eastAsia="Times New Roman" w:hAnsi="Arial" w:cs="Arial"/>
          <w:sz w:val="20"/>
          <w:szCs w:val="20"/>
          <w:lang w:val="uk-UA"/>
        </w:rPr>
        <w:t>ість</w:t>
      </w:r>
      <w:r w:rsidRPr="00F24652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BD1B2A" w:rsidRPr="00F24652" w:rsidRDefault="00BD1B2A" w:rsidP="00BD1B2A">
      <w:pPr>
        <w:spacing w:after="0"/>
        <w:jc w:val="center"/>
        <w:rPr>
          <w:rFonts w:ascii="Calibri" w:eastAsia="Calibri" w:hAnsi="Calibri" w:cs="Calibri"/>
          <w:lang w:val="uk-UA"/>
        </w:rPr>
      </w:pPr>
      <w:r w:rsidRPr="00F24652"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BD1B2A" w:rsidRPr="00F24652" w:rsidTr="00DE653D">
        <w:trPr>
          <w:trHeight w:val="173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D1B2A" w:rsidRPr="00F24652" w:rsidRDefault="00BD1B2A" w:rsidP="00DE653D">
            <w:pPr>
              <w:ind w:left="-495"/>
              <w:jc w:val="both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F24652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Контакт для медіа:</w:t>
            </w:r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Transparency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International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 Україна</w:t>
            </w:r>
          </w:p>
          <w:p w:rsidR="00BD1B2A" w:rsidRPr="00F24652" w:rsidRDefault="00BD1B2A" w:rsidP="00DE653D">
            <w:pPr>
              <w:ind w:left="-495"/>
              <w:jc w:val="both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м.т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. 050-352-96-18,</w:t>
            </w:r>
          </w:p>
          <w:p w:rsidR="00BD1B2A" w:rsidRPr="00F24652" w:rsidRDefault="00BD1B2A" w:rsidP="00DE653D">
            <w:pPr>
              <w:ind w:left="-495"/>
              <w:jc w:val="both"/>
              <w:rPr>
                <w:sz w:val="16"/>
                <w:szCs w:val="16"/>
                <w:lang w:val="uk-UA"/>
              </w:rPr>
            </w:pPr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e-</w:t>
            </w: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mail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: </w:t>
            </w:r>
            <w:hyperlink r:id="rId10" w:history="1">
              <w:r w:rsidRPr="00F24652">
                <w:rPr>
                  <w:rStyle w:val="Hyperlink2"/>
                  <w:rFonts w:ascii="Calibri" w:hAnsi="Calibri"/>
                  <w:lang w:val="uk-UA"/>
                </w:rPr>
                <w:t>tymchenko@ti-ukraine.org</w:t>
              </w:r>
            </w:hyperlink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D1B2A" w:rsidRPr="00F24652" w:rsidRDefault="00BD1B2A" w:rsidP="00E961AE">
            <w:pPr>
              <w:ind w:left="414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F24652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Transparency</w:t>
            </w:r>
            <w:proofErr w:type="spellEnd"/>
            <w:r w:rsidRPr="00F24652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24652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International</w:t>
            </w:r>
            <w:proofErr w:type="spellEnd"/>
            <w:r w:rsidRPr="00F24652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 Україна</w:t>
            </w:r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Transparency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>International</w:t>
            </w:r>
            <w:proofErr w:type="spellEnd"/>
            <w:r w:rsidRPr="00F24652">
              <w:rPr>
                <w:rFonts w:ascii="Calibri" w:hAnsi="Calibri"/>
                <w:sz w:val="16"/>
                <w:szCs w:val="16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1" w:history="1">
              <w:r w:rsidRPr="00F24652">
                <w:rPr>
                  <w:rStyle w:val="Hyperlink2"/>
                  <w:rFonts w:ascii="Calibri" w:hAnsi="Calibri"/>
                  <w:lang w:val="uk-UA"/>
                </w:rPr>
                <w:t>www.ti-ukraine.org</w:t>
              </w:r>
            </w:hyperlink>
          </w:p>
        </w:tc>
      </w:tr>
    </w:tbl>
    <w:p w:rsidR="00BD1B2A" w:rsidRPr="00F24652" w:rsidRDefault="00BD1B2A" w:rsidP="00B02A2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BD1B2A" w:rsidRPr="00F24652" w:rsidSect="000835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E6" w:rsidRDefault="007B07E6">
      <w:pPr>
        <w:spacing w:after="0" w:line="240" w:lineRule="auto"/>
      </w:pPr>
      <w:r>
        <w:separator/>
      </w:r>
    </w:p>
  </w:endnote>
  <w:endnote w:type="continuationSeparator" w:id="0">
    <w:p w:rsidR="007B07E6" w:rsidRDefault="007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A6" w:rsidRDefault="000835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A6" w:rsidRDefault="000835A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A6" w:rsidRDefault="000835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E6" w:rsidRDefault="007B07E6">
      <w:pPr>
        <w:spacing w:after="0" w:line="240" w:lineRule="auto"/>
      </w:pPr>
      <w:r>
        <w:separator/>
      </w:r>
    </w:p>
  </w:footnote>
  <w:footnote w:type="continuationSeparator" w:id="0">
    <w:p w:rsidR="007B07E6" w:rsidRDefault="007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A6" w:rsidRDefault="000835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E" w:rsidRDefault="006809F6" w:rsidP="000835A6">
    <w:pPr>
      <w:pStyle w:val="a4"/>
      <w:tabs>
        <w:tab w:val="clear" w:pos="9355"/>
        <w:tab w:val="left" w:pos="9133"/>
      </w:tabs>
      <w:rPr>
        <w:lang w:val="uk-UA"/>
      </w:rPr>
    </w:pPr>
    <w:r>
      <w:tab/>
    </w:r>
  </w:p>
  <w:p w:rsidR="000835A6" w:rsidRDefault="000835A6" w:rsidP="000835A6">
    <w:pPr>
      <w:spacing w:after="0"/>
      <w:ind w:left="5103"/>
      <w:rPr>
        <w:color w:val="00A1DA"/>
        <w:sz w:val="18"/>
        <w:szCs w:val="18"/>
        <w:lang w:val="uk-UA"/>
      </w:rPr>
    </w:pPr>
  </w:p>
  <w:p w:rsidR="000835A6" w:rsidRDefault="000835A6" w:rsidP="000835A6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F2D722D" wp14:editId="1D81F860">
          <wp:simplePos x="0" y="0"/>
          <wp:positionH relativeFrom="column">
            <wp:posOffset>13970</wp:posOffset>
          </wp:positionH>
          <wp:positionV relativeFrom="paragraph">
            <wp:posOffset>123190</wp:posOffset>
          </wp:positionV>
          <wp:extent cx="2066925" cy="535940"/>
          <wp:effectExtent l="0" t="0" r="9525" b="0"/>
          <wp:wrapSquare wrapText="bothSides"/>
          <wp:docPr id="2" name="Рисунок 2" descr="D:\TIU\Work\Facebook\transparency_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IU\Work\Facebook\transparency_u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35A6" w:rsidRDefault="000835A6" w:rsidP="000835A6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1DA"/>
        <w:sz w:val="18"/>
        <w:szCs w:val="18"/>
      </w:rPr>
      <w:t>вул</w:t>
    </w:r>
    <w:proofErr w:type="spellEnd"/>
    <w:r w:rsidRPr="00BC780C">
      <w:rPr>
        <w:color w:val="00A1DA"/>
        <w:sz w:val="18"/>
        <w:szCs w:val="18"/>
      </w:rPr>
      <w:t>.</w:t>
    </w:r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Січових</w:t>
    </w:r>
    <w:proofErr w:type="spellEnd"/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Стрільців</w:t>
    </w:r>
    <w:proofErr w:type="spellEnd"/>
    <w:r>
      <w:rPr>
        <w:color w:val="00A1DA"/>
        <w:sz w:val="18"/>
        <w:szCs w:val="18"/>
      </w:rPr>
      <w:t xml:space="preserve">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>41</w:t>
    </w:r>
    <w:r w:rsidRPr="00AC71CC">
      <w:rPr>
        <w:color w:val="00A1DA"/>
        <w:sz w:val="18"/>
        <w:szCs w:val="18"/>
      </w:rPr>
      <w:t xml:space="preserve">, </w:t>
    </w:r>
    <w:r>
      <w:rPr>
        <w:color w:val="00A1DA"/>
        <w:sz w:val="18"/>
        <w:szCs w:val="18"/>
      </w:rPr>
      <w:t>5</w:t>
    </w:r>
    <w:r w:rsidRPr="00AC71CC">
      <w:rPr>
        <w:color w:val="00A1DA"/>
        <w:sz w:val="18"/>
        <w:szCs w:val="18"/>
      </w:rPr>
      <w:t xml:space="preserve">-й поверх, м. </w:t>
    </w:r>
    <w:proofErr w:type="spellStart"/>
    <w:r w:rsidRPr="00AC71CC">
      <w:rPr>
        <w:color w:val="00A1DA"/>
        <w:sz w:val="18"/>
        <w:szCs w:val="18"/>
      </w:rPr>
      <w:t>Київ</w:t>
    </w:r>
    <w:proofErr w:type="spellEnd"/>
    <w:r w:rsidRPr="00AC71CC">
      <w:rPr>
        <w:color w:val="00A1DA"/>
        <w:sz w:val="18"/>
        <w:szCs w:val="18"/>
      </w:rPr>
      <w:t xml:space="preserve">, </w:t>
    </w:r>
    <w:r>
      <w:rPr>
        <w:color w:val="00A1DA"/>
        <w:sz w:val="18"/>
        <w:szCs w:val="18"/>
      </w:rPr>
      <w:t>04053</w:t>
    </w:r>
  </w:p>
  <w:p w:rsidR="000835A6" w:rsidRDefault="000835A6" w:rsidP="000835A6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 w:rsidRPr="00EA4B66">
      <w:rPr>
        <w:color w:val="00ADEA"/>
        <w:sz w:val="18"/>
        <w:szCs w:val="18"/>
        <w:lang w:val="uk-UA"/>
      </w:rPr>
      <w:t>тел</w:t>
    </w:r>
    <w:proofErr w:type="spellEnd"/>
    <w:r w:rsidRPr="00EA4B66">
      <w:rPr>
        <w:color w:val="00ADEA"/>
        <w:sz w:val="18"/>
        <w:szCs w:val="18"/>
        <w:lang w:val="uk-UA"/>
      </w:rPr>
      <w:t>.: +380 44 360 52 42</w:t>
    </w:r>
  </w:p>
  <w:p w:rsidR="000835A6" w:rsidRPr="000835A6" w:rsidRDefault="000835A6" w:rsidP="000835A6">
    <w:pPr>
      <w:spacing w:after="0"/>
      <w:ind w:left="5103"/>
      <w:rPr>
        <w:color w:val="00A1DA"/>
        <w:sz w:val="18"/>
        <w:szCs w:val="18"/>
        <w:lang w:val="en-US"/>
      </w:rPr>
    </w:pPr>
    <w:r w:rsidRPr="00EA4B66">
      <w:rPr>
        <w:color w:val="00ADEA"/>
        <w:sz w:val="18"/>
        <w:szCs w:val="18"/>
        <w:lang w:val="it-IT"/>
      </w:rPr>
      <w:t>e-mail: office@ti-ukraine.org</w:t>
    </w:r>
  </w:p>
  <w:p w:rsidR="000835A6" w:rsidRDefault="000835A6" w:rsidP="000835A6">
    <w:pPr>
      <w:pStyle w:val="a4"/>
      <w:tabs>
        <w:tab w:val="clear" w:pos="9355"/>
        <w:tab w:val="left" w:pos="9133"/>
      </w:tabs>
      <w:rPr>
        <w:lang w:val="uk-UA"/>
      </w:rPr>
    </w:pPr>
  </w:p>
  <w:p w:rsidR="000835A6" w:rsidRPr="000835A6" w:rsidRDefault="000835A6" w:rsidP="000835A6">
    <w:pPr>
      <w:pStyle w:val="a4"/>
      <w:tabs>
        <w:tab w:val="clear" w:pos="9355"/>
        <w:tab w:val="left" w:pos="9133"/>
      </w:tabs>
      <w:rPr>
        <w:lang w:val="it-IT"/>
      </w:rPr>
    </w:pPr>
    <w:r>
      <w:rPr>
        <w:lang w:val="uk-UA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A6" w:rsidRDefault="000835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98C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EC3"/>
    <w:multiLevelType w:val="hybridMultilevel"/>
    <w:tmpl w:val="1D18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02"/>
    <w:rsid w:val="00021825"/>
    <w:rsid w:val="00037952"/>
    <w:rsid w:val="000835A6"/>
    <w:rsid w:val="00083A9F"/>
    <w:rsid w:val="00095CC2"/>
    <w:rsid w:val="000A1CDA"/>
    <w:rsid w:val="00121D67"/>
    <w:rsid w:val="001A320D"/>
    <w:rsid w:val="00242BC5"/>
    <w:rsid w:val="002A2408"/>
    <w:rsid w:val="002A2EB5"/>
    <w:rsid w:val="00352C42"/>
    <w:rsid w:val="0037688A"/>
    <w:rsid w:val="00447436"/>
    <w:rsid w:val="0055466E"/>
    <w:rsid w:val="00595343"/>
    <w:rsid w:val="006809F6"/>
    <w:rsid w:val="006D409C"/>
    <w:rsid w:val="00784ABF"/>
    <w:rsid w:val="0079002F"/>
    <w:rsid w:val="007B07E6"/>
    <w:rsid w:val="008B4483"/>
    <w:rsid w:val="00913C6C"/>
    <w:rsid w:val="009368FC"/>
    <w:rsid w:val="00942C02"/>
    <w:rsid w:val="00A35CC7"/>
    <w:rsid w:val="00AA766C"/>
    <w:rsid w:val="00AF0D1C"/>
    <w:rsid w:val="00B02A2F"/>
    <w:rsid w:val="00B47FB3"/>
    <w:rsid w:val="00B77330"/>
    <w:rsid w:val="00BD1B2A"/>
    <w:rsid w:val="00BD50D8"/>
    <w:rsid w:val="00C03666"/>
    <w:rsid w:val="00CB13F7"/>
    <w:rsid w:val="00DE653D"/>
    <w:rsid w:val="00E02DDE"/>
    <w:rsid w:val="00F24652"/>
    <w:rsid w:val="00F37F32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79263"/>
  <w15:docId w15:val="{5D28D4CB-CAC4-487C-AF65-8F0EA5D6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2C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C02"/>
    <w:rPr>
      <w:u w:val="single"/>
    </w:rPr>
  </w:style>
  <w:style w:type="paragraph" w:styleId="a4">
    <w:name w:val="header"/>
    <w:link w:val="a5"/>
    <w:rsid w:val="00942C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942C02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rsid w:val="00942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customStyle="1" w:styleId="textexposedshow">
    <w:name w:val="text_exposed_show"/>
    <w:basedOn w:val="a0"/>
    <w:rsid w:val="000A1CDA"/>
  </w:style>
  <w:style w:type="character" w:customStyle="1" w:styleId="5yl5">
    <w:name w:val="_5yl5"/>
    <w:basedOn w:val="a0"/>
    <w:rsid w:val="00095CC2"/>
  </w:style>
  <w:style w:type="character" w:styleId="a7">
    <w:name w:val="Emphasis"/>
    <w:basedOn w:val="a0"/>
    <w:uiPriority w:val="20"/>
    <w:qFormat/>
    <w:rsid w:val="0037688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8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5A6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paragraph" w:styleId="aa">
    <w:name w:val="footer"/>
    <w:basedOn w:val="a"/>
    <w:link w:val="ab"/>
    <w:uiPriority w:val="99"/>
    <w:unhideWhenUsed/>
    <w:rsid w:val="000835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5A6"/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table" w:customStyle="1" w:styleId="TableNormal1">
    <w:name w:val="Table Normal1"/>
    <w:rsid w:val="00BD1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BD1B2A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5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3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8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4138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1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5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8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8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2018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70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news/ti-ukrajina-zaklykae-min-yust-yaknajshvydshe-dozvolyty-nazk-karaty-za-nevchasno-podani-deklaratsij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m/ukrainian/news_in_brief/2016/08/160815_ko_ti_naz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-ukraine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ymchenko@ti-ukrain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-ukraine.org/news/hromadskist-zaklykaie-uriad-zminyty-kerivnytstvo-nazk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Kostetskyi</dc:creator>
  <cp:keywords/>
  <dc:description/>
  <cp:lastModifiedBy>Olga Tymchenko</cp:lastModifiedBy>
  <cp:revision>8</cp:revision>
  <dcterms:created xsi:type="dcterms:W3CDTF">2017-10-10T09:41:00Z</dcterms:created>
  <dcterms:modified xsi:type="dcterms:W3CDTF">2017-10-10T11:31:00Z</dcterms:modified>
</cp:coreProperties>
</file>