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3E88CFBD" w:rsidR="00303DAE" w:rsidRPr="002006F6" w:rsidRDefault="009E0AAC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006F6">
        <w:rPr>
          <w:rFonts w:ascii="Calibri" w:hAnsi="Calibri"/>
          <w:lang w:val="uk-UA"/>
        </w:rPr>
        <w:t>ПРЕС-РЕЛІЗ</w:t>
      </w:r>
    </w:p>
    <w:p w14:paraId="331176F7" w14:textId="580E53E2" w:rsidR="00EF6CFF" w:rsidRDefault="0021656F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24.11</w:t>
      </w:r>
      <w:r w:rsidR="007915A1">
        <w:rPr>
          <w:rFonts w:ascii="Calibri" w:hAnsi="Calibri"/>
          <w:lang w:val="uk-UA"/>
        </w:rPr>
        <w:t>.</w:t>
      </w:r>
      <w:r w:rsidR="00513000" w:rsidRPr="002006F6">
        <w:rPr>
          <w:rFonts w:ascii="Calibri" w:hAnsi="Calibri"/>
          <w:lang w:val="uk-UA"/>
        </w:rPr>
        <w:t>2017</w:t>
      </w:r>
      <w:r w:rsidR="00FC3C1D" w:rsidRPr="002006F6">
        <w:rPr>
          <w:rFonts w:ascii="Calibri" w:hAnsi="Calibri"/>
          <w:lang w:val="uk-UA"/>
        </w:rPr>
        <w:t xml:space="preserve"> </w:t>
      </w:r>
    </w:p>
    <w:p w14:paraId="38B4DB92" w14:textId="77777777" w:rsidR="00D86346" w:rsidRPr="002006F6" w:rsidRDefault="00D86346" w:rsidP="00B017DE">
      <w:pPr>
        <w:spacing w:after="0"/>
        <w:jc w:val="both"/>
        <w:rPr>
          <w:rFonts w:ascii="Calibri" w:hAnsi="Calibri"/>
          <w:lang w:val="uk-UA"/>
        </w:rPr>
      </w:pPr>
    </w:p>
    <w:p w14:paraId="0EB6F062" w14:textId="6B898582" w:rsidR="00D34210" w:rsidRPr="002006F6" w:rsidRDefault="00D34210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462AA72D" w14:textId="77777777" w:rsidR="00742B18" w:rsidRDefault="00F957CF" w:rsidP="002006F6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 w:rsidRPr="002006F6">
        <w:rPr>
          <w:rFonts w:ascii="Calibri" w:eastAsia="Calibri" w:hAnsi="Calibri" w:cs="Calibri"/>
          <w:b/>
          <w:lang w:val="uk-UA"/>
        </w:rPr>
        <w:t xml:space="preserve">ТІ Україна </w:t>
      </w:r>
      <w:r w:rsidR="0021656F">
        <w:rPr>
          <w:rFonts w:ascii="Calibri" w:eastAsia="Calibri" w:hAnsi="Calibri" w:cs="Calibri"/>
          <w:b/>
          <w:lang w:val="uk-UA"/>
        </w:rPr>
        <w:t>судитиметься з</w:t>
      </w:r>
      <w:r w:rsidR="002006F6" w:rsidRPr="002006F6">
        <w:rPr>
          <w:rFonts w:ascii="Calibri" w:eastAsia="Calibri" w:hAnsi="Calibri" w:cs="Calibri"/>
          <w:b/>
          <w:lang w:val="uk-UA"/>
        </w:rPr>
        <w:t xml:space="preserve"> ГПУ,</w:t>
      </w:r>
      <w:r w:rsidRPr="002006F6">
        <w:rPr>
          <w:rFonts w:ascii="Calibri" w:eastAsia="Calibri" w:hAnsi="Calibri" w:cs="Calibri"/>
          <w:b/>
          <w:lang w:val="uk-UA"/>
        </w:rPr>
        <w:t xml:space="preserve"> Військов</w:t>
      </w:r>
      <w:r w:rsidR="0021656F">
        <w:rPr>
          <w:rFonts w:ascii="Calibri" w:eastAsia="Calibri" w:hAnsi="Calibri" w:cs="Calibri"/>
          <w:b/>
          <w:lang w:val="uk-UA"/>
        </w:rPr>
        <w:t>ою</w:t>
      </w:r>
      <w:r w:rsidRPr="002006F6">
        <w:rPr>
          <w:rFonts w:ascii="Calibri" w:eastAsia="Calibri" w:hAnsi="Calibri" w:cs="Calibri"/>
          <w:b/>
          <w:lang w:val="uk-UA"/>
        </w:rPr>
        <w:t xml:space="preserve"> прокуратур</w:t>
      </w:r>
      <w:r w:rsidR="0021656F">
        <w:rPr>
          <w:rFonts w:ascii="Calibri" w:eastAsia="Calibri" w:hAnsi="Calibri" w:cs="Calibri"/>
          <w:b/>
          <w:lang w:val="uk-UA"/>
        </w:rPr>
        <w:t>ою</w:t>
      </w:r>
      <w:r w:rsidR="002006F6" w:rsidRPr="002006F6">
        <w:rPr>
          <w:rFonts w:ascii="Calibri" w:eastAsia="Calibri" w:hAnsi="Calibri" w:cs="Calibri"/>
          <w:b/>
          <w:lang w:val="uk-UA"/>
        </w:rPr>
        <w:t xml:space="preserve"> сил АТО </w:t>
      </w:r>
    </w:p>
    <w:p w14:paraId="15D3AF49" w14:textId="5C586514" w:rsidR="00F957CF" w:rsidRDefault="002006F6" w:rsidP="002006F6">
      <w:pPr>
        <w:spacing w:after="0"/>
        <w:jc w:val="center"/>
        <w:rPr>
          <w:rFonts w:ascii="Calibri" w:hAnsi="Calibri" w:cs="Calibri"/>
          <w:b/>
          <w:lang w:val="uk-UA"/>
        </w:rPr>
      </w:pPr>
      <w:r w:rsidRPr="002006F6">
        <w:rPr>
          <w:rFonts w:ascii="Calibri" w:eastAsia="Calibri" w:hAnsi="Calibri" w:cs="Calibri"/>
          <w:b/>
          <w:lang w:val="uk-UA"/>
        </w:rPr>
        <w:t>та ДП «</w:t>
      </w:r>
      <w:r w:rsidRPr="002006F6">
        <w:rPr>
          <w:rFonts w:ascii="Calibri" w:hAnsi="Calibri" w:cs="Calibri"/>
          <w:b/>
          <w:lang w:val="uk-UA"/>
        </w:rPr>
        <w:t>Інформаційні судові системи»</w:t>
      </w:r>
    </w:p>
    <w:p w14:paraId="47EC8746" w14:textId="77777777" w:rsidR="00D86346" w:rsidRPr="002006F6" w:rsidRDefault="00D86346" w:rsidP="002006F6">
      <w:pPr>
        <w:spacing w:after="0"/>
        <w:jc w:val="center"/>
        <w:rPr>
          <w:rFonts w:ascii="Calibri" w:eastAsia="Calibri" w:hAnsi="Calibri" w:cs="Calibri"/>
          <w:lang w:val="uk-UA"/>
        </w:rPr>
      </w:pPr>
    </w:p>
    <w:p w14:paraId="1A7B22EA" w14:textId="43688214" w:rsidR="00695FC8" w:rsidRPr="00D86346" w:rsidRDefault="0021656F" w:rsidP="00695FC8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  <w:r w:rsidRPr="00D86346">
        <w:rPr>
          <w:rFonts w:ascii="Calibri" w:hAnsi="Calibri" w:cs="Calibri"/>
          <w:i/>
          <w:lang w:val="uk-UA"/>
        </w:rPr>
        <w:t>В понеділок о 11:2</w:t>
      </w:r>
      <w:r w:rsidR="00D11AFB">
        <w:rPr>
          <w:rFonts w:ascii="Calibri" w:hAnsi="Calibri" w:cs="Calibri"/>
          <w:i/>
          <w:lang w:val="uk-UA"/>
        </w:rPr>
        <w:t>5</w:t>
      </w:r>
      <w:r w:rsidRPr="00D86346">
        <w:rPr>
          <w:rFonts w:ascii="Calibri" w:hAnsi="Calibri" w:cs="Calibri"/>
          <w:i/>
          <w:lang w:val="uk-UA"/>
        </w:rPr>
        <w:t xml:space="preserve"> в Окружному адміністративному суді міста Києва відбудеться розгляд справи за позовом </w:t>
      </w:r>
      <w:r w:rsidR="00F957CF" w:rsidRPr="00D86346">
        <w:rPr>
          <w:rFonts w:ascii="Calibri" w:hAnsi="Calibri" w:cs="Calibri"/>
          <w:i/>
          <w:lang w:val="uk-UA"/>
        </w:rPr>
        <w:t xml:space="preserve">антикорупційної організації </w:t>
      </w:r>
      <w:proofErr w:type="spellStart"/>
      <w:r w:rsidR="00F957CF" w:rsidRPr="00D86346">
        <w:rPr>
          <w:rFonts w:ascii="Calibri" w:hAnsi="Calibri" w:cs="Calibri"/>
          <w:i/>
          <w:lang w:val="uk-UA"/>
        </w:rPr>
        <w:t>Transparency</w:t>
      </w:r>
      <w:proofErr w:type="spellEnd"/>
      <w:r w:rsidR="00F957CF" w:rsidRPr="00D86346">
        <w:rPr>
          <w:rFonts w:ascii="Calibri" w:hAnsi="Calibri" w:cs="Calibri"/>
          <w:i/>
          <w:lang w:val="uk-UA"/>
        </w:rPr>
        <w:t xml:space="preserve"> </w:t>
      </w:r>
      <w:proofErr w:type="spellStart"/>
      <w:r w:rsidR="00F957CF" w:rsidRPr="00D86346">
        <w:rPr>
          <w:rFonts w:ascii="Calibri" w:hAnsi="Calibri" w:cs="Calibri"/>
          <w:i/>
          <w:lang w:val="uk-UA"/>
        </w:rPr>
        <w:t>International</w:t>
      </w:r>
      <w:proofErr w:type="spellEnd"/>
      <w:r w:rsidR="00F957CF" w:rsidRPr="00D86346">
        <w:rPr>
          <w:rFonts w:ascii="Calibri" w:hAnsi="Calibri" w:cs="Calibri"/>
          <w:i/>
          <w:lang w:val="uk-UA"/>
        </w:rPr>
        <w:t xml:space="preserve"> Україн</w:t>
      </w:r>
      <w:r w:rsidR="00D11AFB">
        <w:rPr>
          <w:rFonts w:ascii="Calibri" w:hAnsi="Calibri" w:cs="Calibri"/>
          <w:i/>
          <w:lang w:val="uk-UA"/>
        </w:rPr>
        <w:t>а</w:t>
      </w:r>
      <w:r w:rsidR="00F957CF" w:rsidRPr="00D86346">
        <w:rPr>
          <w:rFonts w:ascii="Calibri" w:hAnsi="Calibri" w:cs="Calibri"/>
          <w:i/>
          <w:lang w:val="uk-UA"/>
        </w:rPr>
        <w:t xml:space="preserve"> </w:t>
      </w:r>
      <w:r w:rsidR="0051575D" w:rsidRPr="00D86346">
        <w:rPr>
          <w:rFonts w:ascii="Calibri" w:hAnsi="Calibri" w:cs="Calibri"/>
          <w:i/>
          <w:lang w:val="uk-UA"/>
        </w:rPr>
        <w:t>проти</w:t>
      </w:r>
      <w:r w:rsidR="00F957CF" w:rsidRPr="00D86346">
        <w:rPr>
          <w:rFonts w:ascii="Calibri" w:hAnsi="Calibri" w:cs="Calibri"/>
          <w:i/>
          <w:lang w:val="uk-UA"/>
        </w:rPr>
        <w:t xml:space="preserve"> Генеральної прокуратури України, Військової прокуратури сил АТО та ДП</w:t>
      </w:r>
      <w:r w:rsidR="00CF7A7C">
        <w:rPr>
          <w:rFonts w:ascii="Calibri" w:hAnsi="Calibri" w:cs="Calibri"/>
          <w:i/>
          <w:lang w:val="uk-UA"/>
        </w:rPr>
        <w:t xml:space="preserve"> «Інформаційні судові системи» </w:t>
      </w:r>
      <w:r w:rsidRPr="00D86346">
        <w:rPr>
          <w:rFonts w:ascii="Calibri" w:hAnsi="Calibri" w:cs="Calibri"/>
          <w:i/>
          <w:lang w:val="uk-UA"/>
        </w:rPr>
        <w:t>про</w:t>
      </w:r>
      <w:r w:rsidR="00F957CF" w:rsidRPr="00D86346">
        <w:rPr>
          <w:rFonts w:ascii="Calibri" w:hAnsi="Calibri" w:cs="Calibri"/>
          <w:i/>
          <w:lang w:val="uk-UA"/>
        </w:rPr>
        <w:t xml:space="preserve"> скасування незаконних рішень по засекреченню судового </w:t>
      </w:r>
      <w:proofErr w:type="spellStart"/>
      <w:r w:rsidR="00F957CF" w:rsidRPr="00D86346">
        <w:rPr>
          <w:rFonts w:ascii="Calibri" w:hAnsi="Calibri" w:cs="Calibri"/>
          <w:i/>
          <w:lang w:val="uk-UA"/>
        </w:rPr>
        <w:t>вироку</w:t>
      </w:r>
      <w:proofErr w:type="spellEnd"/>
      <w:r w:rsidR="002006F6" w:rsidRPr="00D86346">
        <w:rPr>
          <w:rFonts w:ascii="Calibri" w:hAnsi="Calibri" w:cs="Calibri"/>
          <w:i/>
          <w:lang w:val="uk-UA"/>
        </w:rPr>
        <w:t>,</w:t>
      </w:r>
      <w:r w:rsidR="00F957CF" w:rsidRPr="00D86346">
        <w:rPr>
          <w:rFonts w:ascii="Calibri" w:hAnsi="Calibri" w:cs="Calibri"/>
          <w:i/>
          <w:lang w:val="uk-UA"/>
        </w:rPr>
        <w:t xml:space="preserve"> за яким було конфісковано 1,5 млрд доларів коштів «злочинної організації Януковича». </w:t>
      </w:r>
    </w:p>
    <w:p w14:paraId="23D7ED1B" w14:textId="77777777" w:rsidR="007915A1" w:rsidRDefault="007915A1" w:rsidP="00695FC8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</w:p>
    <w:p w14:paraId="06AECF55" w14:textId="40416623" w:rsidR="0021656F" w:rsidRDefault="0021656F" w:rsidP="00695FC8">
      <w:pPr>
        <w:ind w:firstLine="709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</w:pPr>
      <w:r w:rsidRPr="0021656F">
        <w:rPr>
          <w:rFonts w:ascii="Calibri" w:hAnsi="Calibri" w:cs="Calibri"/>
          <w:lang w:val="uk-UA"/>
        </w:rPr>
        <w:t xml:space="preserve">ТІ Україна запрошує журналістів відвідати судове засідання, яке відбудеться 27 </w:t>
      </w:r>
      <w:r w:rsidR="005A0F7B">
        <w:rPr>
          <w:rFonts w:ascii="Calibri" w:hAnsi="Calibri" w:cs="Calibri"/>
          <w:color w:val="auto"/>
          <w:lang w:val="uk-UA"/>
        </w:rPr>
        <w:t xml:space="preserve">листопада об 11:25 в </w:t>
      </w:r>
      <w:r w:rsidRPr="00D11AFB">
        <w:rPr>
          <w:rFonts w:ascii="Calibri" w:hAnsi="Calibri" w:cs="Calibri"/>
          <w:color w:val="auto"/>
          <w:lang w:val="uk-UA"/>
        </w:rPr>
        <w:t xml:space="preserve">Окружному адміністративному суді міста Києва за </w:t>
      </w:r>
      <w:proofErr w:type="spellStart"/>
      <w:r w:rsidRPr="00D11AFB">
        <w:rPr>
          <w:rFonts w:ascii="Calibri" w:hAnsi="Calibri" w:cs="Calibri"/>
          <w:color w:val="auto"/>
          <w:lang w:val="uk-UA"/>
        </w:rPr>
        <w:t>адресою</w:t>
      </w:r>
      <w:proofErr w:type="spellEnd"/>
      <w:r w:rsidRPr="00D11AFB">
        <w:rPr>
          <w:rFonts w:ascii="Calibri" w:hAnsi="Calibri" w:cs="Calibri"/>
          <w:color w:val="auto"/>
          <w:lang w:val="uk-UA"/>
        </w:rPr>
        <w:t xml:space="preserve">: </w:t>
      </w:r>
      <w:proofErr w:type="spellStart"/>
      <w:r w:rsidRPr="00D11AFB">
        <w:rPr>
          <w:rFonts w:ascii="Calibri" w:hAnsi="Calibri" w:cs="Calibri"/>
          <w:color w:val="auto"/>
          <w:shd w:val="clear" w:color="auto" w:fill="FFFFFF"/>
        </w:rPr>
        <w:t>вул</w:t>
      </w:r>
      <w:proofErr w:type="spellEnd"/>
      <w:r w:rsidRPr="00D11AFB">
        <w:rPr>
          <w:rFonts w:ascii="Calibri" w:hAnsi="Calibri" w:cs="Calibri"/>
          <w:color w:val="auto"/>
          <w:shd w:val="clear" w:color="auto" w:fill="FFFFFF"/>
          <w:lang w:val="uk-UA"/>
        </w:rPr>
        <w:t>.</w:t>
      </w:r>
      <w:r w:rsidRPr="00D11AFB">
        <w:rPr>
          <w:rFonts w:ascii="Calibri" w:hAnsi="Calibri" w:cs="Calibri"/>
          <w:color w:val="auto"/>
          <w:shd w:val="clear" w:color="auto" w:fill="FFFFFF"/>
        </w:rPr>
        <w:t xml:space="preserve"> Петра </w:t>
      </w:r>
      <w:proofErr w:type="spellStart"/>
      <w:r w:rsidRPr="00D11AFB">
        <w:rPr>
          <w:rFonts w:ascii="Calibri" w:hAnsi="Calibri" w:cs="Calibri"/>
          <w:color w:val="auto"/>
          <w:shd w:val="clear" w:color="auto" w:fill="FFFFFF"/>
        </w:rPr>
        <w:t>Болбочана</w:t>
      </w:r>
      <w:proofErr w:type="spellEnd"/>
      <w:r w:rsidRPr="00D11AFB">
        <w:rPr>
          <w:rFonts w:ascii="Calibri" w:hAnsi="Calibri" w:cs="Calibri"/>
          <w:color w:val="auto"/>
          <w:shd w:val="clear" w:color="auto" w:fill="FFFFFF"/>
        </w:rPr>
        <w:t xml:space="preserve">, 8, </w:t>
      </w:r>
      <w:proofErr w:type="spellStart"/>
      <w:r w:rsidRPr="00D11AFB">
        <w:rPr>
          <w:rFonts w:ascii="Calibri" w:hAnsi="Calibri" w:cs="Calibri"/>
          <w:color w:val="auto"/>
          <w:shd w:val="clear" w:color="auto" w:fill="FFFFFF"/>
        </w:rPr>
        <w:t>корп</w:t>
      </w:r>
      <w:proofErr w:type="spellEnd"/>
      <w:r w:rsidR="00D86346" w:rsidRPr="00D11AFB">
        <w:rPr>
          <w:rFonts w:ascii="Calibri" w:hAnsi="Calibri" w:cs="Calibri"/>
          <w:color w:val="auto"/>
          <w:shd w:val="clear" w:color="auto" w:fill="FFFFFF"/>
          <w:lang w:val="uk-UA"/>
        </w:rPr>
        <w:t>.</w:t>
      </w:r>
      <w:r w:rsidR="005E05DE">
        <w:rPr>
          <w:rFonts w:ascii="Calibri" w:hAnsi="Calibri" w:cs="Calibri"/>
          <w:color w:val="auto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D11AFB">
        <w:rPr>
          <w:rFonts w:ascii="Calibri" w:hAnsi="Calibri" w:cs="Calibri"/>
          <w:color w:val="auto"/>
          <w:shd w:val="clear" w:color="auto" w:fill="FFFFFF"/>
        </w:rPr>
        <w:t>1</w:t>
      </w:r>
      <w:r w:rsidRPr="00D11AFB">
        <w:rPr>
          <w:rFonts w:ascii="Calibri" w:hAnsi="Calibri" w:cs="Calibri"/>
          <w:color w:val="auto"/>
          <w:shd w:val="clear" w:color="auto" w:fill="FFFFFF"/>
          <w:lang w:val="uk-UA"/>
        </w:rPr>
        <w:t>.</w:t>
      </w:r>
      <w:r w:rsidRPr="00D11AFB">
        <w:rPr>
          <w:rFonts w:ascii="Arial" w:hAnsi="Arial" w:cs="Arial"/>
          <w:color w:val="auto"/>
          <w:sz w:val="20"/>
          <w:szCs w:val="20"/>
          <w:shd w:val="clear" w:color="auto" w:fill="FFFFFF"/>
          <w:lang w:val="uk-UA"/>
        </w:rPr>
        <w:t xml:space="preserve"> </w:t>
      </w:r>
    </w:p>
    <w:p w14:paraId="4DFE2C5C" w14:textId="77777777" w:rsidR="00D86346" w:rsidRDefault="00D86346" w:rsidP="00695FC8">
      <w:pPr>
        <w:ind w:firstLine="709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</w:pPr>
    </w:p>
    <w:p w14:paraId="7E2FCCF6" w14:textId="77777777" w:rsidR="00D86346" w:rsidRDefault="00BF018A" w:rsidP="00D86346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695FC8">
        <w:rPr>
          <w:rFonts w:ascii="Calibri" w:hAnsi="Calibri" w:cs="Calibri"/>
          <w:lang w:val="uk-UA"/>
        </w:rPr>
        <w:t xml:space="preserve">Минуло майже </w:t>
      </w:r>
      <w:r w:rsidR="0021656F">
        <w:rPr>
          <w:rFonts w:ascii="Calibri" w:hAnsi="Calibri" w:cs="Calibri"/>
          <w:lang w:val="uk-UA"/>
        </w:rPr>
        <w:t>вісім</w:t>
      </w:r>
      <w:r w:rsidRPr="00695FC8">
        <w:rPr>
          <w:rFonts w:ascii="Calibri" w:hAnsi="Calibri" w:cs="Calibri"/>
          <w:lang w:val="uk-UA"/>
        </w:rPr>
        <w:t xml:space="preserve"> місяців відколи Генпрокуратура </w:t>
      </w:r>
      <w:hyperlink r:id="rId7" w:history="1">
        <w:r w:rsidRPr="00B11399">
          <w:rPr>
            <w:rStyle w:val="a3"/>
            <w:rFonts w:ascii="Calibri" w:hAnsi="Calibri" w:cs="Calibri"/>
            <w:color w:val="1F4E79" w:themeColor="accent1" w:themeShade="80"/>
            <w:lang w:val="uk-UA"/>
          </w:rPr>
          <w:t xml:space="preserve">заарештувала </w:t>
        </w:r>
        <w:r w:rsidR="002006F6" w:rsidRPr="00B11399">
          <w:rPr>
            <w:rStyle w:val="a3"/>
            <w:rFonts w:ascii="Calibri" w:hAnsi="Calibri" w:cs="Calibri"/>
            <w:color w:val="1F4E79" w:themeColor="accent1" w:themeShade="80"/>
            <w:lang w:val="uk-UA"/>
          </w:rPr>
          <w:t>1,5 млрд доларів коштів колишнього режиму</w:t>
        </w:r>
      </w:hyperlink>
      <w:r w:rsidRPr="00695FC8">
        <w:rPr>
          <w:rFonts w:ascii="Calibri" w:hAnsi="Calibri" w:cs="Calibri"/>
          <w:lang w:val="uk-UA"/>
        </w:rPr>
        <w:t>. Рішення суду, за яким ці кошти бул</w:t>
      </w:r>
      <w:r w:rsidR="002006F6" w:rsidRPr="00695FC8">
        <w:rPr>
          <w:rFonts w:ascii="Calibri" w:hAnsi="Calibri" w:cs="Calibri"/>
          <w:lang w:val="uk-UA"/>
        </w:rPr>
        <w:t>и</w:t>
      </w:r>
      <w:r w:rsidRPr="00695FC8">
        <w:rPr>
          <w:rFonts w:ascii="Calibri" w:hAnsi="Calibri" w:cs="Calibri"/>
          <w:lang w:val="uk-UA"/>
        </w:rPr>
        <w:t xml:space="preserve"> арештован</w:t>
      </w:r>
      <w:r w:rsidR="002006F6" w:rsidRPr="00695FC8">
        <w:rPr>
          <w:rFonts w:ascii="Calibri" w:hAnsi="Calibri" w:cs="Calibri"/>
          <w:lang w:val="uk-UA"/>
        </w:rPr>
        <w:t>і</w:t>
      </w:r>
      <w:r w:rsidRPr="00695FC8">
        <w:rPr>
          <w:rFonts w:ascii="Calibri" w:hAnsi="Calibri" w:cs="Calibri"/>
          <w:lang w:val="uk-UA"/>
        </w:rPr>
        <w:t xml:space="preserve"> досі не оприлюднено. </w:t>
      </w:r>
      <w:proofErr w:type="spellStart"/>
      <w:r w:rsidR="002006F6" w:rsidRPr="00695FC8">
        <w:rPr>
          <w:rFonts w:ascii="Calibri" w:hAnsi="Calibri" w:cs="Calibri"/>
          <w:lang w:val="uk-UA"/>
        </w:rPr>
        <w:t>Transparency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</w:t>
      </w:r>
      <w:proofErr w:type="spellStart"/>
      <w:r w:rsidR="002006F6" w:rsidRPr="00695FC8">
        <w:rPr>
          <w:rFonts w:ascii="Calibri" w:hAnsi="Calibri" w:cs="Calibri"/>
          <w:lang w:val="uk-UA"/>
        </w:rPr>
        <w:t>International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Україна вважає це тривожним сигналом, адже </w:t>
      </w:r>
      <w:r w:rsidRPr="00695FC8">
        <w:rPr>
          <w:rFonts w:ascii="Calibri" w:hAnsi="Calibri" w:cs="Calibri"/>
          <w:lang w:val="uk-UA"/>
        </w:rPr>
        <w:t>по-перше, суспільство досі не знає, у кого, за які злочини та скільки точно коштів було конфісковано, по-друге</w:t>
      </w:r>
      <w:r w:rsidR="00695FC8">
        <w:rPr>
          <w:rFonts w:ascii="Calibri" w:hAnsi="Calibri" w:cs="Calibri"/>
          <w:lang w:val="uk-UA"/>
        </w:rPr>
        <w:t>,</w:t>
      </w:r>
      <w:r w:rsidRPr="00695FC8">
        <w:rPr>
          <w:rFonts w:ascii="Calibri" w:hAnsi="Calibri" w:cs="Calibri"/>
          <w:lang w:val="uk-UA"/>
        </w:rPr>
        <w:t xml:space="preserve"> якщо рішення містить технічні недосконалості, то воно зможе бути оскарженим.</w:t>
      </w:r>
      <w:r w:rsidR="002006F6" w:rsidRPr="00695FC8">
        <w:rPr>
          <w:rFonts w:ascii="Calibri" w:hAnsi="Calibri" w:cs="Calibri"/>
          <w:lang w:val="uk-UA"/>
        </w:rPr>
        <w:t xml:space="preserve"> Секретаріат </w:t>
      </w:r>
      <w:proofErr w:type="spellStart"/>
      <w:r w:rsidR="002006F6" w:rsidRPr="00695FC8">
        <w:rPr>
          <w:rFonts w:ascii="Calibri" w:hAnsi="Calibri" w:cs="Calibri"/>
          <w:lang w:val="uk-UA"/>
        </w:rPr>
        <w:t>Transparency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</w:t>
      </w:r>
      <w:proofErr w:type="spellStart"/>
      <w:r w:rsidR="002006F6" w:rsidRPr="00695FC8">
        <w:rPr>
          <w:rFonts w:ascii="Calibri" w:hAnsi="Calibri" w:cs="Calibri"/>
          <w:lang w:val="uk-UA"/>
        </w:rPr>
        <w:t>International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 та його українське представництво  вже </w:t>
      </w:r>
      <w:hyperlink r:id="rId8" w:history="1">
        <w:r w:rsidR="002006F6" w:rsidRPr="00695FC8">
          <w:rPr>
            <w:rStyle w:val="a3"/>
            <w:rFonts w:ascii="Calibri" w:hAnsi="Calibri" w:cs="Calibri"/>
            <w:color w:val="2E74B5" w:themeColor="accent1" w:themeShade="BF"/>
            <w:lang w:val="uk-UA"/>
          </w:rPr>
          <w:t>зверталися</w:t>
        </w:r>
      </w:hyperlink>
      <w:r w:rsidR="002006F6" w:rsidRPr="00695FC8">
        <w:rPr>
          <w:rFonts w:ascii="Calibri" w:hAnsi="Calibri" w:cs="Calibri"/>
          <w:color w:val="2E74B5" w:themeColor="accent1" w:themeShade="BF"/>
          <w:lang w:val="uk-UA"/>
        </w:rPr>
        <w:t xml:space="preserve"> </w:t>
      </w:r>
      <w:r w:rsidR="002006F6" w:rsidRPr="00695FC8">
        <w:rPr>
          <w:rFonts w:ascii="Calibri" w:hAnsi="Calibri" w:cs="Calibri"/>
          <w:lang w:val="uk-UA"/>
        </w:rPr>
        <w:t xml:space="preserve">до  українського Парламенту з проханням домогтися офіційного оприлюднення результатів судового процесу. </w:t>
      </w:r>
      <w:r w:rsidR="0021656F">
        <w:rPr>
          <w:rFonts w:ascii="Calibri" w:hAnsi="Calibri" w:cs="Calibri"/>
          <w:lang w:val="uk-UA"/>
        </w:rPr>
        <w:t xml:space="preserve">Але </w:t>
      </w:r>
      <w:r w:rsidR="002006F6" w:rsidRPr="00695FC8">
        <w:rPr>
          <w:rFonts w:ascii="Calibri" w:hAnsi="Calibri" w:cs="Calibri"/>
          <w:lang w:val="uk-UA"/>
        </w:rPr>
        <w:t xml:space="preserve">представники прокуратури проігнорували засідання комітету та не з’явились для обґрунтування своєї позиції народним депутатам. </w:t>
      </w:r>
    </w:p>
    <w:p w14:paraId="61C9E5CE" w14:textId="70ECAD58" w:rsidR="00D86346" w:rsidRPr="00D86346" w:rsidRDefault="00D86346" w:rsidP="00D86346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D86346">
        <w:rPr>
          <w:rFonts w:ascii="Calibri" w:hAnsi="Calibri" w:cs="Calibri"/>
          <w:lang w:val="uk-UA"/>
        </w:rPr>
        <w:t>Нещодавно Центр протидії корупції відкликав</w:t>
      </w:r>
      <w:r w:rsidRPr="00D86346">
        <w:rPr>
          <w:rFonts w:ascii="Calibri" w:hAnsi="Calibri" w:cs="Calibri"/>
        </w:rPr>
        <w:t> </w:t>
      </w:r>
      <w:hyperlink r:id="rId9" w:history="1">
        <w:r w:rsidRPr="00D86346">
          <w:rPr>
            <w:rStyle w:val="a3"/>
            <w:rFonts w:ascii="Calibri" w:hAnsi="Calibri" w:cs="Calibri"/>
            <w:lang w:val="uk-UA"/>
          </w:rPr>
          <w:t>позов</w:t>
        </w:r>
      </w:hyperlink>
      <w:r w:rsidRPr="00D86346">
        <w:rPr>
          <w:rFonts w:ascii="Calibri" w:hAnsi="Calibri" w:cs="Calibri"/>
        </w:rPr>
        <w:t> </w:t>
      </w:r>
      <w:r w:rsidRPr="00D86346">
        <w:rPr>
          <w:rFonts w:ascii="Calibri" w:hAnsi="Calibri" w:cs="Calibri"/>
          <w:lang w:val="uk-UA"/>
        </w:rPr>
        <w:t xml:space="preserve">про розсекречення даного </w:t>
      </w:r>
      <w:proofErr w:type="spellStart"/>
      <w:r w:rsidRPr="00D86346">
        <w:rPr>
          <w:rFonts w:ascii="Calibri" w:hAnsi="Calibri" w:cs="Calibri"/>
          <w:lang w:val="uk-UA"/>
        </w:rPr>
        <w:t>вироку</w:t>
      </w:r>
      <w:proofErr w:type="spellEnd"/>
      <w:r w:rsidRPr="00D86346">
        <w:rPr>
          <w:rFonts w:ascii="Calibri" w:hAnsi="Calibri" w:cs="Calibri"/>
          <w:lang w:val="uk-UA"/>
        </w:rPr>
        <w:t>, адже під час підготовчого засідання</w:t>
      </w:r>
      <w:r w:rsidRPr="00D86346">
        <w:rPr>
          <w:rFonts w:ascii="Calibri" w:hAnsi="Calibri" w:cs="Calibri"/>
        </w:rPr>
        <w:t> </w:t>
      </w:r>
      <w:r w:rsidRPr="00D86346">
        <w:rPr>
          <w:rFonts w:ascii="Calibri" w:hAnsi="Calibri" w:cs="Calibri"/>
          <w:lang w:val="uk-UA"/>
        </w:rPr>
        <w:t>адвокат кіпрської</w:t>
      </w:r>
      <w:r w:rsidRPr="00D86346">
        <w:rPr>
          <w:rFonts w:ascii="Calibri" w:hAnsi="Calibri" w:cs="Calibri"/>
        </w:rPr>
        <w:t> </w:t>
      </w:r>
      <w:r w:rsidRPr="00D86346">
        <w:rPr>
          <w:rFonts w:ascii="Calibri" w:hAnsi="Calibri" w:cs="Calibri"/>
          <w:lang w:val="uk-UA"/>
        </w:rPr>
        <w:t xml:space="preserve">компанії </w:t>
      </w:r>
      <w:proofErr w:type="spellStart"/>
      <w:r w:rsidRPr="00D86346">
        <w:rPr>
          <w:rFonts w:ascii="Calibri" w:hAnsi="Calibri" w:cs="Calibri"/>
        </w:rPr>
        <w:t>Akemi</w:t>
      </w:r>
      <w:proofErr w:type="spellEnd"/>
      <w:r w:rsidRPr="00D86346">
        <w:rPr>
          <w:rFonts w:ascii="Calibri" w:hAnsi="Calibri" w:cs="Calibri"/>
          <w:lang w:val="uk-UA"/>
        </w:rPr>
        <w:t xml:space="preserve"> </w:t>
      </w:r>
      <w:proofErr w:type="spellStart"/>
      <w:r w:rsidRPr="00D86346">
        <w:rPr>
          <w:rFonts w:ascii="Calibri" w:hAnsi="Calibri" w:cs="Calibri"/>
        </w:rPr>
        <w:t>management</w:t>
      </w:r>
      <w:proofErr w:type="spellEnd"/>
      <w:r w:rsidRPr="00D86346">
        <w:rPr>
          <w:rFonts w:ascii="Calibri" w:hAnsi="Calibri" w:cs="Calibri"/>
          <w:lang w:val="uk-UA"/>
        </w:rPr>
        <w:t xml:space="preserve"> </w:t>
      </w:r>
      <w:proofErr w:type="spellStart"/>
      <w:r w:rsidRPr="00D86346">
        <w:rPr>
          <w:rFonts w:ascii="Calibri" w:hAnsi="Calibri" w:cs="Calibri"/>
        </w:rPr>
        <w:t>ltd</w:t>
      </w:r>
      <w:proofErr w:type="spellEnd"/>
      <w:r w:rsidRPr="00D86346">
        <w:rPr>
          <w:rFonts w:ascii="Calibri" w:hAnsi="Calibri" w:cs="Calibri"/>
          <w:lang w:val="uk-UA"/>
        </w:rPr>
        <w:t xml:space="preserve"> подав клопотання щодо долучення до позову громадської організації компанії в якості третьої особи без самостійних вимог.</w:t>
      </w:r>
    </w:p>
    <w:p w14:paraId="522512C1" w14:textId="77777777" w:rsidR="00D86346" w:rsidRDefault="00695FC8" w:rsidP="00D86346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D86346">
        <w:rPr>
          <w:rFonts w:ascii="Calibri" w:hAnsi="Calibri" w:cs="Calibri"/>
          <w:color w:val="auto"/>
          <w:lang w:val="uk-UA"/>
        </w:rPr>
        <w:t>Державне підприємство «</w:t>
      </w:r>
      <w:r w:rsidR="002006F6" w:rsidRPr="00D86346">
        <w:rPr>
          <w:rFonts w:ascii="Calibri" w:hAnsi="Calibri" w:cs="Calibri"/>
          <w:color w:val="auto"/>
          <w:lang w:val="uk-UA"/>
        </w:rPr>
        <w:t>Інформаційні судові системи</w:t>
      </w:r>
      <w:r w:rsidRPr="00D86346">
        <w:rPr>
          <w:rFonts w:ascii="Calibri" w:hAnsi="Calibri" w:cs="Calibri"/>
          <w:color w:val="auto"/>
          <w:lang w:val="uk-UA"/>
        </w:rPr>
        <w:t>»</w:t>
      </w:r>
      <w:r w:rsidR="002006F6" w:rsidRPr="00D86346">
        <w:rPr>
          <w:rFonts w:ascii="Calibri" w:hAnsi="Calibri" w:cs="Calibri"/>
          <w:color w:val="auto"/>
          <w:lang w:val="uk-UA"/>
        </w:rPr>
        <w:t>, яке зобов’язане оприлюднити судове рішення у відкритому Єдиному реєстрі судових рішень, посилається на заборону органів прокуратури. Генеральна прокуратура, у свою чергу, стверджує, що сама ж і визнала це рішення державною таємницею.</w:t>
      </w:r>
      <w:r w:rsidRPr="00D86346">
        <w:rPr>
          <w:rFonts w:ascii="Calibri" w:hAnsi="Calibri" w:cs="Calibri"/>
          <w:lang w:val="uk-UA"/>
        </w:rPr>
        <w:t xml:space="preserve"> </w:t>
      </w:r>
    </w:p>
    <w:p w14:paraId="311C439A" w14:textId="0AF41DBA" w:rsidR="0021656F" w:rsidRPr="00D86346" w:rsidRDefault="00695FC8" w:rsidP="00D86346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D86346">
        <w:rPr>
          <w:rFonts w:ascii="Calibri" w:hAnsi="Calibri" w:cs="Calibri"/>
          <w:lang w:val="uk-UA"/>
        </w:rPr>
        <w:t>ТІ Україна вимагає</w:t>
      </w:r>
      <w:r w:rsidR="00BF018A" w:rsidRPr="00D86346">
        <w:rPr>
          <w:rFonts w:ascii="Calibri" w:hAnsi="Calibri" w:cs="Calibri"/>
          <w:lang w:val="uk-UA"/>
        </w:rPr>
        <w:t xml:space="preserve"> скасува</w:t>
      </w:r>
      <w:r w:rsidRPr="00D86346">
        <w:rPr>
          <w:rFonts w:ascii="Calibri" w:hAnsi="Calibri" w:cs="Calibri"/>
          <w:lang w:val="uk-UA"/>
        </w:rPr>
        <w:t>ти</w:t>
      </w:r>
      <w:r w:rsidR="0021656F" w:rsidRPr="00D86346">
        <w:rPr>
          <w:rFonts w:ascii="Calibri" w:hAnsi="Calibri" w:cs="Calibri"/>
          <w:lang w:val="uk-UA"/>
        </w:rPr>
        <w:t xml:space="preserve"> </w:t>
      </w:r>
      <w:r w:rsidR="00D86346" w:rsidRPr="00D86346">
        <w:rPr>
          <w:rFonts w:ascii="Calibri" w:hAnsi="Calibri" w:cs="Calibri"/>
          <w:lang w:val="uk-UA"/>
        </w:rPr>
        <w:t>низку</w:t>
      </w:r>
      <w:r w:rsidR="00BF018A" w:rsidRPr="00D86346">
        <w:rPr>
          <w:rFonts w:ascii="Calibri" w:hAnsi="Calibri" w:cs="Calibri"/>
          <w:lang w:val="uk-UA"/>
        </w:rPr>
        <w:t xml:space="preserve"> рішен</w:t>
      </w:r>
      <w:r w:rsidR="00D86346" w:rsidRPr="00D86346">
        <w:rPr>
          <w:rFonts w:ascii="Calibri" w:hAnsi="Calibri" w:cs="Calibri"/>
          <w:lang w:val="uk-UA"/>
        </w:rPr>
        <w:t>ь</w:t>
      </w:r>
      <w:r w:rsidR="00BF018A" w:rsidRPr="00D86346">
        <w:rPr>
          <w:rFonts w:ascii="Calibri" w:hAnsi="Calibri" w:cs="Calibri"/>
          <w:lang w:val="uk-UA"/>
        </w:rPr>
        <w:t xml:space="preserve"> </w:t>
      </w:r>
      <w:r w:rsidRPr="00D86346">
        <w:rPr>
          <w:rFonts w:ascii="Calibri" w:hAnsi="Calibri" w:cs="Calibri"/>
          <w:lang w:val="uk-UA"/>
        </w:rPr>
        <w:t xml:space="preserve">щодо секретності </w:t>
      </w:r>
      <w:r w:rsidR="00BF018A" w:rsidRPr="00D86346">
        <w:rPr>
          <w:rFonts w:ascii="Calibri" w:hAnsi="Calibri" w:cs="Calibri"/>
          <w:lang w:val="uk-UA"/>
        </w:rPr>
        <w:t>та зобов’яза</w:t>
      </w:r>
      <w:r w:rsidRPr="00D86346">
        <w:rPr>
          <w:rFonts w:ascii="Calibri" w:hAnsi="Calibri" w:cs="Calibri"/>
          <w:lang w:val="uk-UA"/>
        </w:rPr>
        <w:t>ти державні органі</w:t>
      </w:r>
      <w:r w:rsidR="00BF018A" w:rsidRPr="00D86346">
        <w:rPr>
          <w:rFonts w:ascii="Calibri" w:hAnsi="Calibri" w:cs="Calibri"/>
          <w:lang w:val="uk-UA"/>
        </w:rPr>
        <w:t xml:space="preserve"> </w:t>
      </w:r>
      <w:r w:rsidR="00D86346" w:rsidRPr="00D86346">
        <w:rPr>
          <w:rFonts w:ascii="Calibri" w:hAnsi="Calibri" w:cs="Calibri"/>
        </w:rPr>
        <w:t> </w:t>
      </w:r>
      <w:r w:rsidR="00D86346" w:rsidRPr="00D86346">
        <w:rPr>
          <w:rFonts w:ascii="Calibri" w:hAnsi="Calibri" w:cs="Calibri"/>
          <w:lang w:val="uk-UA"/>
        </w:rPr>
        <w:t>оприлюднити вирок в Єдиному реєстрі судових рішень.</w:t>
      </w:r>
    </w:p>
    <w:p w14:paraId="5BA7FD2E" w14:textId="77777777" w:rsidR="00D86346" w:rsidRPr="00D86346" w:rsidRDefault="00D86346" w:rsidP="00695FC8">
      <w:pPr>
        <w:ind w:firstLine="709"/>
        <w:contextualSpacing/>
        <w:jc w:val="both"/>
        <w:rPr>
          <w:rFonts w:ascii="Calibri" w:hAnsi="Calibri" w:cs="Calibri"/>
          <w:lang w:val="uk-UA"/>
        </w:rPr>
      </w:pPr>
    </w:p>
    <w:p w14:paraId="65F0ECE9" w14:textId="42C2EC53" w:rsidR="00303DAE" w:rsidRPr="002006F6" w:rsidRDefault="0021656F" w:rsidP="00D86346">
      <w:pPr>
        <w:ind w:firstLine="709"/>
        <w:contextualSpacing/>
        <w:jc w:val="both"/>
        <w:rPr>
          <w:lang w:val="uk-UA"/>
        </w:rPr>
      </w:pPr>
      <w:r w:rsidRPr="0021656F">
        <w:rPr>
          <w:rFonts w:ascii="Calibri" w:hAnsi="Calibri" w:cs="Calibri"/>
          <w:b/>
          <w:lang w:val="uk-UA"/>
        </w:rPr>
        <w:t>Контактна особа:</w:t>
      </w:r>
      <w:r>
        <w:rPr>
          <w:rFonts w:ascii="Calibri" w:hAnsi="Calibri" w:cs="Calibri"/>
          <w:lang w:val="uk-UA"/>
        </w:rPr>
        <w:t xml:space="preserve"> Ольга Тимченко, 050-352-96-18</w:t>
      </w:r>
    </w:p>
    <w:sectPr w:rsidR="00303DAE" w:rsidRPr="002006F6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0EFD9" w14:textId="77777777" w:rsidR="00C7273B" w:rsidRDefault="00C7273B">
      <w:pPr>
        <w:spacing w:after="0" w:line="240" w:lineRule="auto"/>
      </w:pPr>
      <w:r>
        <w:separator/>
      </w:r>
    </w:p>
  </w:endnote>
  <w:endnote w:type="continuationSeparator" w:id="0">
    <w:p w14:paraId="24F90B09" w14:textId="77777777" w:rsidR="00C7273B" w:rsidRDefault="00C7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5E7C" w14:textId="77777777" w:rsidR="00C7273B" w:rsidRDefault="00C7273B">
      <w:pPr>
        <w:spacing w:after="0" w:line="240" w:lineRule="auto"/>
      </w:pPr>
      <w:r>
        <w:separator/>
      </w:r>
    </w:p>
  </w:footnote>
  <w:footnote w:type="continuationSeparator" w:id="0">
    <w:p w14:paraId="17E30C1E" w14:textId="77777777" w:rsidR="00C7273B" w:rsidRDefault="00C7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5CFA"/>
    <w:rsid w:val="00092179"/>
    <w:rsid w:val="000A733A"/>
    <w:rsid w:val="000B5F97"/>
    <w:rsid w:val="000B642B"/>
    <w:rsid w:val="000D174B"/>
    <w:rsid w:val="000F5E85"/>
    <w:rsid w:val="00102700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00603"/>
    <w:rsid w:val="002006F6"/>
    <w:rsid w:val="002116C7"/>
    <w:rsid w:val="0021656F"/>
    <w:rsid w:val="00242FBB"/>
    <w:rsid w:val="002658D3"/>
    <w:rsid w:val="00271271"/>
    <w:rsid w:val="0027526B"/>
    <w:rsid w:val="00297D09"/>
    <w:rsid w:val="002A5A41"/>
    <w:rsid w:val="002B1BAF"/>
    <w:rsid w:val="002F7764"/>
    <w:rsid w:val="00303DAE"/>
    <w:rsid w:val="00312157"/>
    <w:rsid w:val="003122FE"/>
    <w:rsid w:val="00317C0F"/>
    <w:rsid w:val="00337DB7"/>
    <w:rsid w:val="00343A49"/>
    <w:rsid w:val="003502FA"/>
    <w:rsid w:val="00360F2C"/>
    <w:rsid w:val="00374286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F76DB"/>
    <w:rsid w:val="00402C93"/>
    <w:rsid w:val="0045010F"/>
    <w:rsid w:val="00490DE1"/>
    <w:rsid w:val="00495D81"/>
    <w:rsid w:val="00495FBC"/>
    <w:rsid w:val="004A1539"/>
    <w:rsid w:val="004A4D7B"/>
    <w:rsid w:val="004C42C9"/>
    <w:rsid w:val="004D11E4"/>
    <w:rsid w:val="004E11BC"/>
    <w:rsid w:val="00513000"/>
    <w:rsid w:val="00513FB8"/>
    <w:rsid w:val="0051575D"/>
    <w:rsid w:val="00516479"/>
    <w:rsid w:val="00517A86"/>
    <w:rsid w:val="0052672F"/>
    <w:rsid w:val="005353F8"/>
    <w:rsid w:val="005448C3"/>
    <w:rsid w:val="00555A39"/>
    <w:rsid w:val="005651C8"/>
    <w:rsid w:val="005712B2"/>
    <w:rsid w:val="00572516"/>
    <w:rsid w:val="00584885"/>
    <w:rsid w:val="005952EC"/>
    <w:rsid w:val="005A011F"/>
    <w:rsid w:val="005A0A9F"/>
    <w:rsid w:val="005A0F7B"/>
    <w:rsid w:val="005B32D9"/>
    <w:rsid w:val="005B5AD9"/>
    <w:rsid w:val="005C32A6"/>
    <w:rsid w:val="005E05DE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2524"/>
    <w:rsid w:val="006C7010"/>
    <w:rsid w:val="006C7636"/>
    <w:rsid w:val="006E2A19"/>
    <w:rsid w:val="006E4192"/>
    <w:rsid w:val="006F636A"/>
    <w:rsid w:val="0070151D"/>
    <w:rsid w:val="00704986"/>
    <w:rsid w:val="0071242E"/>
    <w:rsid w:val="00716DAB"/>
    <w:rsid w:val="007373B2"/>
    <w:rsid w:val="00742B18"/>
    <w:rsid w:val="00752EAD"/>
    <w:rsid w:val="00763B29"/>
    <w:rsid w:val="007655C7"/>
    <w:rsid w:val="00767611"/>
    <w:rsid w:val="007915A1"/>
    <w:rsid w:val="007B6929"/>
    <w:rsid w:val="007B7E85"/>
    <w:rsid w:val="007E4C07"/>
    <w:rsid w:val="007E71BB"/>
    <w:rsid w:val="007F18D8"/>
    <w:rsid w:val="007F4859"/>
    <w:rsid w:val="007F6A25"/>
    <w:rsid w:val="00811850"/>
    <w:rsid w:val="008177A5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4DF6"/>
    <w:rsid w:val="00953D6E"/>
    <w:rsid w:val="00957E65"/>
    <w:rsid w:val="00962516"/>
    <w:rsid w:val="00974B17"/>
    <w:rsid w:val="009C395D"/>
    <w:rsid w:val="009C6AF0"/>
    <w:rsid w:val="009D0A08"/>
    <w:rsid w:val="009E0AAC"/>
    <w:rsid w:val="009E7264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02B34"/>
    <w:rsid w:val="00B11399"/>
    <w:rsid w:val="00B174B8"/>
    <w:rsid w:val="00B21887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BB"/>
    <w:rsid w:val="00C32FFD"/>
    <w:rsid w:val="00C45536"/>
    <w:rsid w:val="00C46CE8"/>
    <w:rsid w:val="00C46EFB"/>
    <w:rsid w:val="00C53AD0"/>
    <w:rsid w:val="00C60790"/>
    <w:rsid w:val="00C65BB4"/>
    <w:rsid w:val="00C70A68"/>
    <w:rsid w:val="00C70C2C"/>
    <w:rsid w:val="00C7273B"/>
    <w:rsid w:val="00C7322C"/>
    <w:rsid w:val="00C75F8D"/>
    <w:rsid w:val="00C80F5F"/>
    <w:rsid w:val="00C8780E"/>
    <w:rsid w:val="00CA6C2D"/>
    <w:rsid w:val="00CD0D37"/>
    <w:rsid w:val="00CE7762"/>
    <w:rsid w:val="00CF7A7C"/>
    <w:rsid w:val="00D01EE8"/>
    <w:rsid w:val="00D11AFB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86346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77DDA"/>
    <w:rsid w:val="00E81AE4"/>
    <w:rsid w:val="00E86C17"/>
    <w:rsid w:val="00E876D4"/>
    <w:rsid w:val="00EA2936"/>
    <w:rsid w:val="00EB24E3"/>
    <w:rsid w:val="00ED1F68"/>
    <w:rsid w:val="00EF6CFF"/>
    <w:rsid w:val="00F029B6"/>
    <w:rsid w:val="00F13E60"/>
    <w:rsid w:val="00F42541"/>
    <w:rsid w:val="00F553EC"/>
    <w:rsid w:val="00F579E2"/>
    <w:rsid w:val="00F65636"/>
    <w:rsid w:val="00F76AFB"/>
    <w:rsid w:val="00F83541"/>
    <w:rsid w:val="00F90493"/>
    <w:rsid w:val="00F905EF"/>
    <w:rsid w:val="00F90DC4"/>
    <w:rsid w:val="00F957CF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news/ukrainska-vlada-maie-opryliudnyty-rishennia-antykoruptsiinykh-provadzhen-ta-prypynyty-peresliduvannia-hromadianskoho-suspil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.gov.ua/ua/news.html?_m=publications&amp;_c=view&amp;_t=rec&amp;id=2069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tac.org.ua/publications/tspk-podav-do-sudu-na-lutsenka-cherez-sekretne-rishennya-pro-konfiskatsiyu-hroshej-yanukovych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10</cp:revision>
  <dcterms:created xsi:type="dcterms:W3CDTF">2017-11-23T15:17:00Z</dcterms:created>
  <dcterms:modified xsi:type="dcterms:W3CDTF">2017-11-24T09:09:00Z</dcterms:modified>
</cp:coreProperties>
</file>