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E3" w:rsidRPr="008E4BE3" w:rsidRDefault="008E4BE3" w:rsidP="008E4BE3">
      <w:pPr>
        <w:rPr>
          <w:rFonts w:asciiTheme="minorHAnsi" w:hAnsiTheme="minorHAnsi"/>
          <w:b/>
          <w:sz w:val="28"/>
          <w:szCs w:val="28"/>
          <w:lang w:val="en-US"/>
        </w:rPr>
      </w:pPr>
      <w:r w:rsidRPr="008E4BE3">
        <w:rPr>
          <w:rFonts w:asciiTheme="minorHAnsi" w:hAnsiTheme="minorHAnsi"/>
          <w:b/>
          <w:sz w:val="28"/>
          <w:szCs w:val="28"/>
          <w:lang w:val="en-US"/>
        </w:rPr>
        <w:t>STATEMENT</w:t>
      </w:r>
    </w:p>
    <w:p w:rsidR="008E4BE3" w:rsidRPr="008E4BE3" w:rsidRDefault="008E4BE3" w:rsidP="008E4BE3">
      <w:pPr>
        <w:spacing w:after="120"/>
        <w:ind w:right="850"/>
        <w:jc w:val="both"/>
        <w:rPr>
          <w:rFonts w:asciiTheme="minorHAnsi" w:eastAsia="Calibri" w:hAnsiTheme="minorHAnsi" w:cs="Calibri"/>
          <w:b/>
          <w:lang w:val="en-US"/>
        </w:rPr>
      </w:pPr>
      <w:r w:rsidRPr="008E4BE3">
        <w:rPr>
          <w:rFonts w:asciiTheme="minorHAnsi" w:eastAsia="Calibri" w:hAnsiTheme="minorHAnsi" w:cs="Calibri"/>
          <w:b/>
          <w:lang w:val="en-US"/>
        </w:rPr>
        <w:t>TRANSPARENCY INTERNATIONAL UKRAINE CALLS ON THE PRESIDENT TO WITHDRAW THE LAW ON THE ANTI-CORRUPTION COURT AND SUBMIT A NEW ONE TAKING INTO ACCOUNT THE RECOMMENDATIONS  OF THE VENICE COMMISSION</w:t>
      </w:r>
    </w:p>
    <w:p w:rsidR="008E4BE3" w:rsidRDefault="008E4BE3" w:rsidP="008E4BE3">
      <w:pPr>
        <w:ind w:right="850"/>
        <w:jc w:val="both"/>
        <w:rPr>
          <w:rFonts w:asciiTheme="minorHAnsi" w:eastAsia="Calibri" w:hAnsiTheme="minorHAnsi" w:cs="Calibri"/>
          <w:i/>
          <w:spacing w:val="-4"/>
          <w:sz w:val="20"/>
          <w:szCs w:val="20"/>
          <w:lang w:val="en-US"/>
        </w:rPr>
      </w:pPr>
      <w:r w:rsidRPr="008E4BE3">
        <w:rPr>
          <w:rFonts w:asciiTheme="minorHAnsi" w:eastAsia="Calibri" w:hAnsiTheme="minorHAnsi" w:cs="Calibri"/>
          <w:i/>
          <w:spacing w:val="-4"/>
          <w:sz w:val="20"/>
          <w:szCs w:val="20"/>
          <w:lang w:val="en-US"/>
        </w:rPr>
        <w:t xml:space="preserve">Having studied the provisions of draft law #7440, the chapter of the global network has arrived at the conclusion that some of its provisions do not comply with the recommendations of the Venice Commission of October 6, 2017. </w:t>
      </w:r>
    </w:p>
    <w:p w:rsidR="008E4BE3" w:rsidRPr="008E4BE3" w:rsidRDefault="008E4BE3" w:rsidP="008E4BE3">
      <w:pPr>
        <w:ind w:right="850"/>
        <w:jc w:val="both"/>
        <w:rPr>
          <w:rFonts w:asciiTheme="minorHAnsi" w:eastAsia="Calibri" w:hAnsiTheme="minorHAnsi" w:cs="Calibri"/>
          <w:sz w:val="20"/>
          <w:szCs w:val="20"/>
          <w:lang w:val="en-US"/>
        </w:rPr>
      </w:pPr>
      <w:r w:rsidRPr="008E4BE3">
        <w:rPr>
          <w:rFonts w:asciiTheme="minorHAnsi" w:eastAsia="Calibri" w:hAnsiTheme="minorHAnsi" w:cs="Calibri"/>
          <w:sz w:val="20"/>
          <w:szCs w:val="20"/>
          <w:lang w:val="en-US"/>
        </w:rPr>
        <w:t>Firstly</w:t>
      </w:r>
      <w:r w:rsidRPr="008E4BE3">
        <w:rPr>
          <w:rFonts w:asciiTheme="minorHAnsi" w:eastAsia="Calibri" w:hAnsiTheme="minorHAnsi" w:cs="Calibri"/>
          <w:sz w:val="20"/>
          <w:szCs w:val="20"/>
          <w:lang w:val="uk-UA"/>
        </w:rPr>
        <w:t xml:space="preserve">, </w:t>
      </w:r>
      <w:r w:rsidRPr="008E4BE3">
        <w:rPr>
          <w:rFonts w:asciiTheme="minorHAnsi" w:eastAsia="Calibri" w:hAnsiTheme="minorHAnsi" w:cs="Calibri"/>
          <w:sz w:val="20"/>
          <w:szCs w:val="20"/>
          <w:lang w:val="en-US"/>
        </w:rPr>
        <w:t>Article</w:t>
      </w:r>
      <w:r w:rsidRPr="008E4BE3">
        <w:rPr>
          <w:rFonts w:asciiTheme="minorHAnsi" w:eastAsia="Calibri" w:hAnsiTheme="minorHAnsi" w:cs="Calibri"/>
          <w:sz w:val="20"/>
          <w:szCs w:val="20"/>
          <w:lang w:val="uk-UA"/>
        </w:rPr>
        <w:t xml:space="preserve"> 8, </w:t>
      </w:r>
      <w:r w:rsidRPr="008E4BE3">
        <w:rPr>
          <w:rFonts w:asciiTheme="minorHAnsi" w:eastAsia="Calibri" w:hAnsiTheme="minorHAnsi" w:cs="Calibri"/>
          <w:sz w:val="20"/>
          <w:szCs w:val="20"/>
          <w:lang w:val="en-US"/>
        </w:rPr>
        <w:t>part</w:t>
      </w:r>
      <w:r w:rsidRPr="008E4BE3">
        <w:rPr>
          <w:rFonts w:asciiTheme="minorHAnsi" w:eastAsia="Calibri" w:hAnsiTheme="minorHAnsi" w:cs="Calibri"/>
          <w:sz w:val="20"/>
          <w:szCs w:val="20"/>
          <w:lang w:val="uk-UA"/>
        </w:rPr>
        <w:t xml:space="preserve"> 4 </w:t>
      </w:r>
      <w:r w:rsidRPr="008E4BE3">
        <w:rPr>
          <w:rFonts w:asciiTheme="minorHAnsi" w:eastAsia="Calibri" w:hAnsiTheme="minorHAnsi" w:cs="Calibri"/>
          <w:sz w:val="20"/>
          <w:szCs w:val="20"/>
          <w:lang w:val="en-US"/>
        </w:rPr>
        <w:t>provides</w:t>
      </w:r>
      <w:r w:rsidRPr="008E4BE3">
        <w:rPr>
          <w:rFonts w:asciiTheme="minorHAnsi" w:eastAsia="Calibri" w:hAnsiTheme="minorHAnsi" w:cs="Calibri"/>
          <w:sz w:val="20"/>
          <w:szCs w:val="20"/>
          <w:lang w:val="uk-UA"/>
        </w:rPr>
        <w:t xml:space="preserve"> </w:t>
      </w:r>
      <w:r w:rsidRPr="008E4BE3">
        <w:rPr>
          <w:rFonts w:asciiTheme="minorHAnsi" w:eastAsia="Calibri" w:hAnsiTheme="minorHAnsi" w:cs="Calibri"/>
          <w:sz w:val="20"/>
          <w:szCs w:val="20"/>
          <w:lang w:val="en-US"/>
        </w:rPr>
        <w:t>for</w:t>
      </w:r>
      <w:r w:rsidRPr="008E4BE3">
        <w:rPr>
          <w:rFonts w:asciiTheme="minorHAnsi" w:eastAsia="Calibri" w:hAnsiTheme="minorHAnsi" w:cs="Calibri"/>
          <w:sz w:val="20"/>
          <w:szCs w:val="20"/>
          <w:lang w:val="uk-UA"/>
        </w:rPr>
        <w:t xml:space="preserve"> </w:t>
      </w:r>
      <w:r w:rsidRPr="008E4BE3">
        <w:rPr>
          <w:rFonts w:asciiTheme="minorHAnsi" w:eastAsia="Calibri" w:hAnsiTheme="minorHAnsi" w:cs="Calibri"/>
          <w:b/>
          <w:sz w:val="20"/>
          <w:szCs w:val="20"/>
          <w:lang w:val="en-US"/>
        </w:rPr>
        <w:t>advisory role of the Public Council of international experts exclusively.</w:t>
      </w:r>
      <w:r w:rsidRPr="008E4BE3">
        <w:rPr>
          <w:rFonts w:asciiTheme="minorHAnsi" w:eastAsia="Calibri" w:hAnsiTheme="minorHAnsi" w:cs="Calibri"/>
          <w:sz w:val="20"/>
          <w:szCs w:val="20"/>
          <w:lang w:val="en-US"/>
        </w:rPr>
        <w:t xml:space="preserve"> Its negative conclusion on a certain candidate for the position of a judge can be ignored by the High Qualification Commission of Judges of Ukraine – by </w:t>
      </w:r>
      <w:r w:rsidRPr="008E4BE3">
        <w:rPr>
          <w:rFonts w:asciiTheme="minorHAnsi" w:eastAsia="Calibri" w:hAnsiTheme="minorHAnsi" w:cs="Calibri"/>
          <w:b/>
          <w:sz w:val="20"/>
          <w:szCs w:val="20"/>
          <w:lang w:val="en-US"/>
        </w:rPr>
        <w:t xml:space="preserve">11 out of 16 votes of HQCJ members. </w:t>
      </w:r>
      <w:r w:rsidRPr="008E4BE3">
        <w:rPr>
          <w:rFonts w:asciiTheme="minorHAnsi" w:eastAsia="Calibri" w:hAnsiTheme="minorHAnsi" w:cs="Calibri"/>
          <w:sz w:val="20"/>
          <w:szCs w:val="20"/>
          <w:lang w:val="en-US"/>
        </w:rPr>
        <w:t xml:space="preserve">In contrast, the Venice Commission recommended to provide international organizations and donors with a </w:t>
      </w:r>
      <w:r w:rsidRPr="008E4BE3">
        <w:rPr>
          <w:rFonts w:asciiTheme="minorHAnsi" w:eastAsia="Calibri" w:hAnsiTheme="minorHAnsi" w:cs="Calibri"/>
          <w:b/>
          <w:sz w:val="20"/>
          <w:szCs w:val="20"/>
          <w:lang w:val="en-US"/>
        </w:rPr>
        <w:t>decisive role</w:t>
      </w:r>
      <w:r w:rsidRPr="008E4BE3">
        <w:rPr>
          <w:rFonts w:asciiTheme="minorHAnsi" w:eastAsia="Calibri" w:hAnsiTheme="minorHAnsi" w:cs="Calibri"/>
          <w:sz w:val="20"/>
          <w:szCs w:val="20"/>
          <w:lang w:val="en-US"/>
        </w:rPr>
        <w:t xml:space="preserve"> in the process of selection of judges. Thus, the transparency of such selection appears questionable.  </w:t>
      </w:r>
    </w:p>
    <w:p w:rsidR="008E4BE3" w:rsidRPr="008E4BE3" w:rsidRDefault="008E4BE3" w:rsidP="008E4BE3">
      <w:pPr>
        <w:ind w:right="850"/>
        <w:jc w:val="both"/>
        <w:rPr>
          <w:rFonts w:asciiTheme="minorHAnsi" w:eastAsia="Calibri" w:hAnsiTheme="minorHAnsi" w:cs="Calibri"/>
          <w:sz w:val="20"/>
          <w:szCs w:val="20"/>
          <w:lang w:val="en-US"/>
        </w:rPr>
      </w:pPr>
      <w:r w:rsidRPr="008E4BE3">
        <w:rPr>
          <w:rFonts w:asciiTheme="minorHAnsi" w:eastAsia="Calibri" w:hAnsiTheme="minorHAnsi" w:cs="Calibri"/>
          <w:sz w:val="20"/>
          <w:szCs w:val="20"/>
          <w:lang w:val="en-US"/>
        </w:rPr>
        <w:t xml:space="preserve">Secondly, the </w:t>
      </w:r>
      <w:r w:rsidRPr="008E4BE3">
        <w:rPr>
          <w:rFonts w:asciiTheme="minorHAnsi" w:eastAsia="Calibri" w:hAnsiTheme="minorHAnsi" w:cs="Calibri"/>
          <w:b/>
          <w:sz w:val="20"/>
          <w:szCs w:val="20"/>
          <w:lang w:val="en-US"/>
        </w:rPr>
        <w:t xml:space="preserve">exclusive jurisdiction of the High Anti-Corruption Court does not include all crimes under investigative jurisdiction of the NABU. </w:t>
      </w:r>
      <w:r w:rsidRPr="008E4BE3">
        <w:rPr>
          <w:rFonts w:asciiTheme="minorHAnsi" w:eastAsia="Calibri" w:hAnsiTheme="minorHAnsi" w:cs="Calibri"/>
          <w:sz w:val="20"/>
          <w:szCs w:val="20"/>
          <w:lang w:val="en-US"/>
        </w:rPr>
        <w:t xml:space="preserve">At the same time it is extended to an entire range of crimes under investigative jurisdiction of the National Police of Ukraine and State Investigation Bureau. The Venice Commission states clearly in its opinion that the jurisdiction of the court has to correspond to the investigative jurisdiction of the NABU and the SAP. It can keep the High Anti-Corruption Court occupied with too many cases. </w:t>
      </w:r>
    </w:p>
    <w:p w:rsidR="008E4BE3" w:rsidRPr="008E4BE3" w:rsidRDefault="008E4BE3" w:rsidP="008E4BE3">
      <w:pPr>
        <w:ind w:right="850"/>
        <w:jc w:val="both"/>
        <w:rPr>
          <w:rFonts w:asciiTheme="minorHAnsi" w:eastAsia="Calibri" w:hAnsiTheme="minorHAnsi" w:cs="Calibri"/>
          <w:sz w:val="20"/>
          <w:szCs w:val="20"/>
          <w:lang w:val="uk-UA"/>
        </w:rPr>
      </w:pPr>
      <w:r w:rsidRPr="008E4BE3">
        <w:rPr>
          <w:rFonts w:asciiTheme="minorHAnsi" w:eastAsia="Calibri" w:hAnsiTheme="minorHAnsi" w:cs="Calibri"/>
          <w:sz w:val="20"/>
          <w:szCs w:val="20"/>
          <w:lang w:val="en-US"/>
        </w:rPr>
        <w:t xml:space="preserve">Thirdly, Article 7, part 2 of the draft law defines </w:t>
      </w:r>
      <w:r w:rsidRPr="008E4BE3">
        <w:rPr>
          <w:rFonts w:asciiTheme="minorHAnsi" w:eastAsia="Calibri" w:hAnsiTheme="minorHAnsi" w:cs="Calibri"/>
          <w:b/>
          <w:sz w:val="20"/>
          <w:szCs w:val="20"/>
          <w:lang w:val="en-US"/>
        </w:rPr>
        <w:t xml:space="preserve">unrealistically high qualification requirements to the candidates for the positions of judges </w:t>
      </w:r>
      <w:r w:rsidRPr="008E4BE3">
        <w:rPr>
          <w:rFonts w:asciiTheme="minorHAnsi" w:eastAsia="Calibri" w:hAnsiTheme="minorHAnsi" w:cs="Calibri"/>
          <w:sz w:val="20"/>
          <w:szCs w:val="20"/>
          <w:lang w:val="en-US"/>
        </w:rPr>
        <w:t xml:space="preserve">of the High Anti-Corruption Court. For instance, besides work experience as a judge or defense attorney and academic work, the candidate must have significant experience of professional activity in the area of anti-corruption in international intergovernmental organizations or international judicial institutions, possess knowledge and practical skills of application of modern international anti-corruption standards and best international practices in the area of anti-corruption, as well as the practices of the European Court of Human Rights. These requirements narrow down the number of potential candidates to the High Anti-Corruption Court significantly, which can be expected to impede the proper selection process. </w:t>
      </w:r>
    </w:p>
    <w:p w:rsidR="008E4BE3" w:rsidRDefault="008E4BE3" w:rsidP="008E4BE3">
      <w:pPr>
        <w:ind w:right="850"/>
        <w:jc w:val="both"/>
        <w:rPr>
          <w:rFonts w:asciiTheme="minorHAnsi" w:hAnsiTheme="minorHAnsi"/>
          <w:sz w:val="20"/>
          <w:szCs w:val="20"/>
          <w:lang w:val="en-US"/>
        </w:rPr>
      </w:pPr>
      <w:r w:rsidRPr="008E4BE3">
        <w:rPr>
          <w:rFonts w:asciiTheme="minorHAnsi" w:hAnsiTheme="minorHAnsi"/>
          <w:sz w:val="20"/>
          <w:szCs w:val="20"/>
          <w:lang w:val="en-US"/>
        </w:rPr>
        <w:t xml:space="preserve">Thus, there is good reason to doubt that if draft Law of Ukraine #7440 “On the High Anti-Corruption Court” is passed, it will provide for independent and unbiased selection of judges and proper functioning of the future High Anti-Corruption Court. TI Ukraine urges the President of Ukraine to </w:t>
      </w:r>
      <w:r w:rsidRPr="008E4BE3">
        <w:rPr>
          <w:rFonts w:asciiTheme="minorHAnsi" w:hAnsiTheme="minorHAnsi"/>
          <w:b/>
          <w:sz w:val="20"/>
          <w:szCs w:val="20"/>
          <w:lang w:val="en-US"/>
        </w:rPr>
        <w:t>withdraw draft law #7440 and submit an updated one</w:t>
      </w:r>
      <w:r w:rsidRPr="008E4BE3">
        <w:rPr>
          <w:rFonts w:asciiTheme="minorHAnsi" w:hAnsiTheme="minorHAnsi"/>
          <w:sz w:val="20"/>
          <w:szCs w:val="20"/>
          <w:lang w:val="en-US"/>
        </w:rPr>
        <w:t xml:space="preserve">, which would take into account the aforementioned recommendations of the Venice Commission. </w:t>
      </w:r>
    </w:p>
    <w:p w:rsidR="008E4BE3" w:rsidRPr="008E4BE3" w:rsidRDefault="008E4BE3" w:rsidP="008E4BE3">
      <w:pPr>
        <w:ind w:right="850"/>
        <w:jc w:val="center"/>
        <w:rPr>
          <w:rFonts w:asciiTheme="minorHAnsi" w:hAnsiTheme="minorHAnsi"/>
          <w:sz w:val="20"/>
          <w:szCs w:val="20"/>
          <w:lang w:val="en-US"/>
        </w:rPr>
      </w:pPr>
      <w:r>
        <w:rPr>
          <w:rFonts w:asciiTheme="minorHAnsi" w:hAnsiTheme="minorHAnsi"/>
          <w:sz w:val="20"/>
          <w:szCs w:val="20"/>
          <w:lang w:val="en-US"/>
        </w:rPr>
        <w:t>#</w:t>
      </w:r>
      <w:bookmarkStart w:id="0" w:name="_GoBack"/>
      <w:bookmarkEnd w:id="0"/>
    </w:p>
    <w:tbl>
      <w:tblPr>
        <w:tblW w:w="0" w:type="auto"/>
        <w:tblLayout w:type="fixed"/>
        <w:tblLook w:val="0000" w:firstRow="0" w:lastRow="0" w:firstColumn="0" w:lastColumn="0" w:noHBand="0" w:noVBand="0"/>
      </w:tblPr>
      <w:tblGrid>
        <w:gridCol w:w="5210"/>
        <w:gridCol w:w="5209"/>
      </w:tblGrid>
      <w:tr w:rsidR="008E4BE3" w:rsidRPr="008E4BE3" w:rsidTr="0073186E">
        <w:trPr>
          <w:trHeight w:val="2342"/>
        </w:trPr>
        <w:tc>
          <w:tcPr>
            <w:tcW w:w="5210" w:type="dxa"/>
            <w:shd w:val="clear" w:color="auto" w:fill="auto"/>
          </w:tcPr>
          <w:p w:rsidR="008E4BE3" w:rsidRPr="008E4BE3" w:rsidRDefault="008E4BE3" w:rsidP="008E4BE3">
            <w:pPr>
              <w:spacing w:after="120" w:line="240" w:lineRule="auto"/>
              <w:rPr>
                <w:rFonts w:ascii="Calibri" w:hAnsi="Calibri" w:cstheme="minorBidi"/>
                <w:bCs/>
                <w:i/>
                <w:iCs/>
                <w:sz w:val="18"/>
                <w:lang w:val="en-US"/>
              </w:rPr>
            </w:pPr>
            <w:r w:rsidRPr="0034331A">
              <w:rPr>
                <w:rFonts w:ascii="Calibri" w:hAnsi="Calibri" w:cstheme="minorBidi"/>
                <w:b/>
                <w:bCs/>
                <w:i/>
                <w:iCs/>
                <w:sz w:val="18"/>
                <w:lang w:val="uk-UA"/>
              </w:rPr>
              <w:t>Media contact</w:t>
            </w:r>
            <w:r w:rsidRPr="008E4BE3">
              <w:rPr>
                <w:rFonts w:ascii="Calibri" w:hAnsi="Calibri" w:cstheme="minorBidi"/>
                <w:bCs/>
                <w:i/>
                <w:iCs/>
                <w:sz w:val="18"/>
                <w:lang w:val="en-US"/>
              </w:rPr>
              <w:t xml:space="preserve">: </w:t>
            </w:r>
            <w:r w:rsidRPr="0034331A">
              <w:rPr>
                <w:rFonts w:ascii="Calibri" w:hAnsi="Calibri" w:cstheme="minorBidi"/>
                <w:bCs/>
                <w:i/>
                <w:iCs/>
                <w:sz w:val="18"/>
                <w:lang w:val="uk-UA"/>
              </w:rPr>
              <w:t>Oleksandr Argat</w:t>
            </w:r>
            <w:r w:rsidRPr="008E4BE3">
              <w:rPr>
                <w:rFonts w:ascii="Calibri" w:hAnsi="Calibri" w:cstheme="minorBidi"/>
                <w:bCs/>
                <w:i/>
                <w:iCs/>
                <w:sz w:val="18"/>
                <w:lang w:val="en-US"/>
              </w:rPr>
              <w:t xml:space="preserve">, </w:t>
            </w:r>
          </w:p>
          <w:p w:rsidR="008E4BE3" w:rsidRPr="0034331A" w:rsidRDefault="008E4BE3" w:rsidP="008E4BE3">
            <w:pPr>
              <w:spacing w:after="120" w:line="240" w:lineRule="auto"/>
              <w:rPr>
                <w:rFonts w:ascii="Calibri" w:hAnsi="Calibri" w:cstheme="minorBidi"/>
                <w:bCs/>
                <w:iCs/>
                <w:sz w:val="18"/>
                <w:lang w:val="uk-UA"/>
              </w:rPr>
            </w:pPr>
            <w:r w:rsidRPr="0034331A">
              <w:rPr>
                <w:rFonts w:ascii="Calibri" w:hAnsi="Calibri" w:cstheme="minorBidi"/>
                <w:bCs/>
                <w:i/>
                <w:iCs/>
                <w:sz w:val="18"/>
                <w:lang w:val="uk-UA"/>
              </w:rPr>
              <w:t>Head of Communiations Department</w:t>
            </w:r>
          </w:p>
          <w:p w:rsidR="008E4BE3" w:rsidRPr="0034331A" w:rsidRDefault="008E4BE3" w:rsidP="008E4BE3">
            <w:pPr>
              <w:spacing w:after="120" w:line="240" w:lineRule="auto"/>
              <w:rPr>
                <w:rFonts w:ascii="Calibri" w:hAnsi="Calibri" w:cstheme="minorBidi"/>
                <w:bCs/>
                <w:iCs/>
                <w:sz w:val="18"/>
                <w:lang w:val="uk-UA"/>
              </w:rPr>
            </w:pPr>
            <w:r w:rsidRPr="008E4BE3">
              <w:rPr>
                <w:rFonts w:ascii="Calibri" w:hAnsi="Calibri" w:cstheme="minorBidi"/>
                <w:bCs/>
                <w:i/>
                <w:iCs/>
                <w:sz w:val="18"/>
                <w:lang w:val="en-US"/>
              </w:rPr>
              <w:t xml:space="preserve">Transparency International </w:t>
            </w:r>
            <w:r w:rsidRPr="0034331A">
              <w:rPr>
                <w:rFonts w:ascii="Calibri" w:hAnsi="Calibri" w:cstheme="minorBidi"/>
                <w:bCs/>
                <w:i/>
                <w:iCs/>
                <w:sz w:val="18"/>
                <w:lang w:val="uk-UA"/>
              </w:rPr>
              <w:t>Ukraine</w:t>
            </w:r>
          </w:p>
          <w:p w:rsidR="008E4BE3" w:rsidRPr="008E4BE3" w:rsidRDefault="008E4BE3" w:rsidP="008E4BE3">
            <w:pPr>
              <w:spacing w:after="120" w:line="240" w:lineRule="auto"/>
              <w:rPr>
                <w:rFonts w:ascii="Calibri" w:hAnsi="Calibri" w:cstheme="minorBidi"/>
                <w:bCs/>
                <w:iCs/>
                <w:sz w:val="18"/>
                <w:lang w:val="en-US"/>
              </w:rPr>
            </w:pPr>
            <w:r w:rsidRPr="0034331A">
              <w:rPr>
                <w:rFonts w:ascii="Calibri" w:hAnsi="Calibri" w:cstheme="minorBidi"/>
                <w:bCs/>
                <w:i/>
                <w:iCs/>
                <w:sz w:val="18"/>
                <w:lang w:val="uk-UA"/>
              </w:rPr>
              <w:t>phone</w:t>
            </w:r>
            <w:r w:rsidRPr="008E4BE3">
              <w:rPr>
                <w:rFonts w:ascii="Calibri" w:hAnsi="Calibri" w:cstheme="minorBidi"/>
                <w:bCs/>
                <w:i/>
                <w:iCs/>
                <w:sz w:val="18"/>
                <w:lang w:val="en-US"/>
              </w:rPr>
              <w:t>. 093-844-24-81,</w:t>
            </w:r>
          </w:p>
          <w:p w:rsidR="008E4BE3" w:rsidRPr="0034331A" w:rsidRDefault="008E4BE3" w:rsidP="008E4BE3">
            <w:pPr>
              <w:spacing w:after="120" w:line="240" w:lineRule="auto"/>
              <w:rPr>
                <w:rFonts w:ascii="Calibri" w:hAnsi="Calibri"/>
                <w:bCs/>
                <w:sz w:val="18"/>
                <w:lang w:val="uk-UA"/>
              </w:rPr>
            </w:pPr>
            <w:r w:rsidRPr="008E4BE3">
              <w:rPr>
                <w:rFonts w:ascii="Calibri" w:hAnsi="Calibri" w:cstheme="minorBidi"/>
                <w:bCs/>
                <w:i/>
                <w:iCs/>
                <w:sz w:val="18"/>
                <w:lang w:val="en-US"/>
              </w:rPr>
              <w:t xml:space="preserve">e-mail: </w:t>
            </w:r>
            <w:hyperlink r:id="rId8" w:history="1">
              <w:r w:rsidRPr="008E4BE3">
                <w:rPr>
                  <w:rFonts w:ascii="Calibri" w:hAnsi="Calibri"/>
                  <w:bCs/>
                  <w:color w:val="auto"/>
                  <w:sz w:val="18"/>
                  <w:u w:val="single"/>
                  <w:lang w:val="en-US"/>
                </w:rPr>
                <w:t>argat</w:t>
              </w:r>
              <w:r w:rsidRPr="008E4BE3">
                <w:rPr>
                  <w:rFonts w:ascii="Calibri" w:hAnsi="Calibri" w:cstheme="minorBidi"/>
                  <w:bCs/>
                  <w:color w:val="auto"/>
                  <w:sz w:val="18"/>
                  <w:u w:val="single"/>
                  <w:lang w:val="en-US"/>
                </w:rPr>
                <w:t>@ti-ukraine.org</w:t>
              </w:r>
            </w:hyperlink>
          </w:p>
          <w:p w:rsidR="008E4BE3" w:rsidRPr="0034331A" w:rsidRDefault="008E4BE3" w:rsidP="008E4BE3">
            <w:pPr>
              <w:jc w:val="both"/>
              <w:rPr>
                <w:rFonts w:ascii="Calibri" w:hAnsi="Calibri"/>
                <w:bCs/>
                <w:sz w:val="18"/>
                <w:lang w:val="uk-UA"/>
              </w:rPr>
            </w:pPr>
          </w:p>
        </w:tc>
        <w:tc>
          <w:tcPr>
            <w:tcW w:w="5209" w:type="dxa"/>
            <w:shd w:val="clear" w:color="auto" w:fill="auto"/>
          </w:tcPr>
          <w:p w:rsidR="008E4BE3" w:rsidRPr="004B4511" w:rsidRDefault="008E4BE3" w:rsidP="008E4BE3">
            <w:pPr>
              <w:spacing w:after="80" w:line="240" w:lineRule="auto"/>
              <w:ind w:right="1203"/>
              <w:rPr>
                <w:rFonts w:ascii="Minion Pro" w:hAnsi="Minion Pro"/>
                <w:sz w:val="16"/>
                <w:szCs w:val="16"/>
                <w:lang w:val="uk-UA"/>
              </w:rPr>
            </w:pPr>
            <w:r w:rsidRPr="00405F72">
              <w:rPr>
                <w:rFonts w:ascii="Calibri" w:hAnsi="Calibri"/>
                <w:b/>
                <w:bCs/>
                <w:sz w:val="18"/>
                <w:lang w:val="uk-UA"/>
              </w:rPr>
              <w:t xml:space="preserve">Transparency International Ukraine </w:t>
            </w:r>
            <w:r w:rsidRPr="00405F72">
              <w:rPr>
                <w:rFonts w:ascii="Calibri" w:hAnsi="Calibri"/>
                <w:bCs/>
                <w:sz w:val="18"/>
                <w:lang w:val="uk-UA"/>
              </w:rPr>
              <w:t xml:space="preserve">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r w:rsidRPr="0034331A">
              <w:rPr>
                <w:rFonts w:ascii="Calibri" w:hAnsi="Calibri"/>
                <w:bCs/>
                <w:sz w:val="18"/>
                <w:u w:val="single"/>
                <w:lang w:val="uk-UA"/>
              </w:rPr>
              <w:t>www.ti-ukraine.org</w:t>
            </w:r>
          </w:p>
        </w:tc>
      </w:tr>
    </w:tbl>
    <w:p w:rsidR="008E4BE3" w:rsidRPr="008E4BE3" w:rsidRDefault="008E4BE3" w:rsidP="008E4BE3">
      <w:pPr>
        <w:ind w:right="850"/>
        <w:rPr>
          <w:lang w:val="en-US"/>
        </w:rPr>
      </w:pPr>
    </w:p>
    <w:p w:rsidR="001159AA" w:rsidRPr="008E4BE3" w:rsidRDefault="001159AA" w:rsidP="008E4BE3">
      <w:pPr>
        <w:rPr>
          <w:lang w:val="uk-UA"/>
        </w:rPr>
      </w:pPr>
    </w:p>
    <w:sectPr w:rsidR="001159AA" w:rsidRPr="008E4BE3" w:rsidSect="008E4BE3">
      <w:headerReference w:type="default" r:id="rId9"/>
      <w:pgSz w:w="11900" w:h="16840"/>
      <w:pgMar w:top="990" w:right="849" w:bottom="270"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17" w:rsidRDefault="00820F17">
      <w:pPr>
        <w:spacing w:after="0" w:line="240" w:lineRule="auto"/>
      </w:pPr>
      <w:r>
        <w:separator/>
      </w:r>
    </w:p>
  </w:endnote>
  <w:endnote w:type="continuationSeparator" w:id="0">
    <w:p w:rsidR="00820F17" w:rsidRDefault="0082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17" w:rsidRDefault="00820F17">
      <w:pPr>
        <w:spacing w:after="0" w:line="240" w:lineRule="auto"/>
      </w:pPr>
      <w:r>
        <w:separator/>
      </w:r>
    </w:p>
  </w:footnote>
  <w:footnote w:type="continuationSeparator" w:id="0">
    <w:p w:rsidR="00820F17" w:rsidRDefault="0082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AA" w:rsidRDefault="00C01D67">
    <w:pPr>
      <w:pStyle w:val="Header"/>
      <w:tabs>
        <w:tab w:val="clear" w:pos="9355"/>
      </w:tabs>
      <w:rPr>
        <w:lang w:val="uk-UA"/>
      </w:rPr>
    </w:pPr>
    <w:r>
      <w:tab/>
    </w:r>
  </w:p>
  <w:p w:rsidR="001159AA" w:rsidRDefault="001159AA">
    <w:pPr>
      <w:spacing w:after="0"/>
      <w:ind w:left="5103"/>
      <w:rPr>
        <w:color w:val="00A1DA"/>
        <w:sz w:val="18"/>
        <w:szCs w:val="18"/>
        <w:lang w:val="uk-UA"/>
      </w:rPr>
    </w:pPr>
  </w:p>
  <w:p w:rsidR="001159AA" w:rsidRDefault="00C01D67">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71021F27" wp14:editId="797207F6">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AB37BC">
    <w:pPr>
      <w:spacing w:after="0"/>
      <w:ind w:left="5103"/>
      <w:rPr>
        <w:color w:val="00A1DA"/>
        <w:sz w:val="18"/>
        <w:szCs w:val="18"/>
        <w:lang w:val="uk-UA"/>
      </w:rPr>
    </w:pP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r>
      <w:rPr>
        <w:color w:val="00A1DA"/>
        <w:sz w:val="18"/>
        <w:szCs w:val="18"/>
        <w:lang w:val="en-US"/>
      </w:rPr>
      <w:t xml:space="preserve">Sichovykh Striltsiv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r>
      <w:rPr>
        <w:color w:val="00A1DA"/>
        <w:sz w:val="18"/>
        <w:szCs w:val="18"/>
        <w:lang w:val="en-US"/>
      </w:rPr>
      <w:br/>
    </w:r>
    <w:r>
      <w:rPr>
        <w:color w:val="00ADEA"/>
        <w:sz w:val="18"/>
        <w:szCs w:val="18"/>
        <w:lang w:val="en-US"/>
      </w:rPr>
      <w:t>tel</w:t>
    </w:r>
    <w:r w:rsidR="00C01D67">
      <w:rPr>
        <w:color w:val="00ADEA"/>
        <w:sz w:val="18"/>
        <w:szCs w:val="18"/>
        <w:lang w:val="uk-UA"/>
      </w:rPr>
      <w:t>.: +380 44 360 52 42</w:t>
    </w:r>
  </w:p>
  <w:p w:rsidR="001159AA" w:rsidRDefault="00C01D67">
    <w:pPr>
      <w:spacing w:after="0"/>
      <w:ind w:left="5103"/>
      <w:rPr>
        <w:color w:val="00A1DA"/>
        <w:sz w:val="18"/>
        <w:szCs w:val="18"/>
        <w:lang w:val="en-US"/>
      </w:rPr>
    </w:pPr>
    <w:r>
      <w:rPr>
        <w:color w:val="00ADEA"/>
        <w:sz w:val="18"/>
        <w:szCs w:val="18"/>
        <w:lang w:val="it-IT"/>
      </w:rPr>
      <w:t>e-mail: office@ti-ukraine.org</w:t>
    </w:r>
  </w:p>
  <w:p w:rsidR="001159AA" w:rsidRDefault="001159AA">
    <w:pPr>
      <w:pStyle w:val="Header"/>
      <w:tabs>
        <w:tab w:val="clear" w:pos="9355"/>
      </w:tabs>
      <w:rPr>
        <w:lang w:val="uk-UA"/>
      </w:rPr>
    </w:pPr>
  </w:p>
  <w:p w:rsidR="001159AA" w:rsidRDefault="00C01D67">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CD31A8"/>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E04C9E"/>
    <w:multiLevelType w:val="hybridMultilevel"/>
    <w:tmpl w:val="0C4E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45375"/>
    <w:rsid w:val="000A36BF"/>
    <w:rsid w:val="000D2783"/>
    <w:rsid w:val="000E6BBF"/>
    <w:rsid w:val="000F7023"/>
    <w:rsid w:val="001159AA"/>
    <w:rsid w:val="0024119F"/>
    <w:rsid w:val="002973C3"/>
    <w:rsid w:val="002E65B7"/>
    <w:rsid w:val="003F460B"/>
    <w:rsid w:val="00405F72"/>
    <w:rsid w:val="004858F7"/>
    <w:rsid w:val="00796EBC"/>
    <w:rsid w:val="00820F17"/>
    <w:rsid w:val="008E4BE3"/>
    <w:rsid w:val="00961885"/>
    <w:rsid w:val="009E516D"/>
    <w:rsid w:val="00A45F2B"/>
    <w:rsid w:val="00AB37BC"/>
    <w:rsid w:val="00AE5F9D"/>
    <w:rsid w:val="00BC77AF"/>
    <w:rsid w:val="00BD4704"/>
    <w:rsid w:val="00C01D67"/>
    <w:rsid w:val="00D75FFA"/>
    <w:rsid w:val="00E02BE7"/>
    <w:rsid w:val="00F9686B"/>
    <w:rsid w:val="00FA0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gat@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2204</Words>
  <Characters>1257</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2</cp:revision>
  <dcterms:created xsi:type="dcterms:W3CDTF">2017-12-27T09:04:00Z</dcterms:created>
  <dcterms:modified xsi:type="dcterms:W3CDTF">2017-12-27T09:04:00Z</dcterms:modified>
</cp:coreProperties>
</file>