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48" w:rsidRPr="00F64137" w:rsidRDefault="00F6413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lang w:val="uk-UA"/>
        </w:rPr>
      </w:pPr>
      <w:r>
        <w:rPr>
          <w:rFonts w:ascii="Calibri" w:eastAsia="Calibri" w:hAnsi="Calibri" w:cs="Calibri"/>
          <w:lang w:val="uk-UA"/>
        </w:rPr>
        <w:t>05.04</w:t>
      </w:r>
      <w:r w:rsidR="004A6348" w:rsidRPr="00F64137">
        <w:rPr>
          <w:rFonts w:ascii="Calibri" w:eastAsia="Calibri" w:hAnsi="Calibri" w:cs="Calibri"/>
          <w:lang w:val="uk-UA"/>
        </w:rPr>
        <w:t>.2018</w:t>
      </w:r>
    </w:p>
    <w:p w:rsidR="0046591C" w:rsidRDefault="0046591C" w:rsidP="00F64137">
      <w:pPr>
        <w:jc w:val="center"/>
        <w:rPr>
          <w:rFonts w:ascii="Times New Roman" w:eastAsia="Times New Roman" w:hAnsi="Times New Roman" w:cs="Times New Roman"/>
          <w:b/>
          <w:sz w:val="24"/>
          <w:szCs w:val="24"/>
        </w:rPr>
      </w:pPr>
    </w:p>
    <w:p w:rsidR="00F64137" w:rsidRPr="00F64137" w:rsidRDefault="00F64137" w:rsidP="00F64137">
      <w:pPr>
        <w:jc w:val="center"/>
        <w:rPr>
          <w:rFonts w:ascii="Times New Roman" w:eastAsia="Times New Roman" w:hAnsi="Times New Roman" w:cs="Times New Roman"/>
          <w:b/>
          <w:sz w:val="24"/>
          <w:szCs w:val="24"/>
        </w:rPr>
      </w:pPr>
      <w:r w:rsidRPr="00F64137">
        <w:rPr>
          <w:rFonts w:ascii="Times New Roman" w:eastAsia="Times New Roman" w:hAnsi="Times New Roman" w:cs="Times New Roman"/>
          <w:b/>
          <w:sz w:val="24"/>
          <w:szCs w:val="24"/>
        </w:rPr>
        <w:t>Заява ГО-засновниць ГРД щодо процесу оцінювання суддів</w:t>
      </w:r>
    </w:p>
    <w:p w:rsidR="00F64137" w:rsidRDefault="00F64137" w:rsidP="00F641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4137" w:rsidRDefault="00F64137" w:rsidP="002C46D1">
      <w:pPr>
        <w:jc w:val="both"/>
        <w:rPr>
          <w:rFonts w:ascii="Times New Roman" w:eastAsia="Times New Roman" w:hAnsi="Times New Roman" w:cs="Times New Roman"/>
          <w:sz w:val="24"/>
          <w:szCs w:val="24"/>
          <w:lang w:val="uk-UA"/>
        </w:rPr>
      </w:pPr>
      <w:r w:rsidRPr="002C46D1">
        <w:rPr>
          <w:rFonts w:ascii="Times New Roman" w:eastAsia="Times New Roman" w:hAnsi="Times New Roman" w:cs="Times New Roman"/>
          <w:sz w:val="24"/>
          <w:szCs w:val="24"/>
          <w:lang w:val="uk-UA"/>
        </w:rPr>
        <w:t xml:space="preserve">Організації, які сформували Громадську раду доброчесності (ГРД), підтримують її </w:t>
      </w:r>
      <w:r w:rsidRPr="002C46D1">
        <w:rPr>
          <w:rFonts w:ascii="Times New Roman" w:eastAsia="Times New Roman" w:hAnsi="Times New Roman" w:cs="Times New Roman"/>
          <w:color w:val="222222"/>
          <w:sz w:val="24"/>
          <w:szCs w:val="24"/>
          <w:highlight w:val="white"/>
          <w:lang w:val="uk-UA"/>
        </w:rPr>
        <w:t>вимоги стосовно необхідності зміни процесу кваліф</w:t>
      </w:r>
      <w:r w:rsidR="002C46D1" w:rsidRPr="002C46D1">
        <w:rPr>
          <w:rFonts w:ascii="Times New Roman" w:eastAsia="Times New Roman" w:hAnsi="Times New Roman" w:cs="Times New Roman"/>
          <w:color w:val="222222"/>
          <w:sz w:val="24"/>
          <w:szCs w:val="24"/>
          <w:highlight w:val="white"/>
          <w:lang w:val="uk-UA"/>
        </w:rPr>
        <w:t xml:space="preserve">ікаційного </w:t>
      </w:r>
      <w:r w:rsidRPr="002C46D1">
        <w:rPr>
          <w:rFonts w:ascii="Times New Roman" w:eastAsia="Times New Roman" w:hAnsi="Times New Roman" w:cs="Times New Roman"/>
          <w:color w:val="222222"/>
          <w:sz w:val="24"/>
          <w:szCs w:val="24"/>
          <w:highlight w:val="white"/>
          <w:lang w:val="uk-UA"/>
        </w:rPr>
        <w:t>оцінювання суддів</w:t>
      </w:r>
      <w:r w:rsidRPr="002C46D1">
        <w:rPr>
          <w:rFonts w:ascii="Times New Roman" w:eastAsia="Times New Roman" w:hAnsi="Times New Roman" w:cs="Times New Roman"/>
          <w:sz w:val="24"/>
          <w:szCs w:val="24"/>
          <w:lang w:val="uk-UA"/>
        </w:rPr>
        <w:t>.</w:t>
      </w:r>
      <w:r w:rsidR="002C46D1" w:rsidRPr="002C46D1">
        <w:rPr>
          <w:rFonts w:ascii="Times New Roman" w:eastAsia="Times New Roman" w:hAnsi="Times New Roman" w:cs="Times New Roman"/>
          <w:sz w:val="24"/>
          <w:szCs w:val="24"/>
          <w:lang w:val="uk-UA"/>
        </w:rPr>
        <w:t xml:space="preserve"> </w:t>
      </w:r>
      <w:r w:rsidRPr="002C46D1">
        <w:rPr>
          <w:rFonts w:ascii="Times New Roman" w:eastAsia="Times New Roman" w:hAnsi="Times New Roman" w:cs="Times New Roman"/>
          <w:sz w:val="24"/>
          <w:szCs w:val="24"/>
          <w:lang w:val="uk-UA"/>
        </w:rPr>
        <w:t>Вважаємо, що повернення ГРД до процесу оцінювання суддів можливе лише у разі виконання В</w:t>
      </w:r>
      <w:r w:rsidR="002C46D1" w:rsidRPr="002C46D1">
        <w:rPr>
          <w:rFonts w:ascii="Times New Roman" w:eastAsia="Times New Roman" w:hAnsi="Times New Roman" w:cs="Times New Roman"/>
          <w:sz w:val="24"/>
          <w:szCs w:val="24"/>
          <w:lang w:val="uk-UA"/>
        </w:rPr>
        <w:t>ищою кваліфі</w:t>
      </w:r>
      <w:r w:rsidR="002C46D1">
        <w:rPr>
          <w:rFonts w:ascii="Times New Roman" w:eastAsia="Times New Roman" w:hAnsi="Times New Roman" w:cs="Times New Roman"/>
          <w:sz w:val="24"/>
          <w:szCs w:val="24"/>
          <w:lang w:val="uk-UA"/>
        </w:rPr>
        <w:t>ка</w:t>
      </w:r>
      <w:r w:rsidR="002C46D1" w:rsidRPr="002C46D1">
        <w:rPr>
          <w:rFonts w:ascii="Times New Roman" w:eastAsia="Times New Roman" w:hAnsi="Times New Roman" w:cs="Times New Roman"/>
          <w:sz w:val="24"/>
          <w:szCs w:val="24"/>
          <w:lang w:val="uk-UA"/>
        </w:rPr>
        <w:t>ційною комісією суддів</w:t>
      </w:r>
      <w:r w:rsidRPr="002C46D1">
        <w:rPr>
          <w:rFonts w:ascii="Times New Roman" w:eastAsia="Times New Roman" w:hAnsi="Times New Roman" w:cs="Times New Roman"/>
          <w:sz w:val="24"/>
          <w:szCs w:val="24"/>
          <w:lang w:val="uk-UA"/>
        </w:rPr>
        <w:t xml:space="preserve"> низки пропозицій, а саме:</w:t>
      </w:r>
    </w:p>
    <w:p w:rsidR="002C46D1" w:rsidRDefault="002C46D1" w:rsidP="002C46D1">
      <w:pPr>
        <w:jc w:val="both"/>
        <w:rPr>
          <w:rFonts w:ascii="Times New Roman" w:eastAsia="Times New Roman" w:hAnsi="Times New Roman" w:cs="Times New Roman"/>
          <w:sz w:val="24"/>
          <w:szCs w:val="24"/>
          <w:lang w:val="uk-UA"/>
        </w:rPr>
      </w:pPr>
    </w:p>
    <w:p w:rsidR="002C46D1" w:rsidRDefault="00F64137" w:rsidP="002C46D1">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зупинити процес кваліфікаційного оцінювання до врегулювання проблемних питань;</w:t>
      </w:r>
    </w:p>
    <w:p w:rsidR="002C46D1" w:rsidRDefault="00F64137" w:rsidP="002C46D1">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 xml:space="preserve">скасувати </w:t>
      </w:r>
      <w:proofErr w:type="spellStart"/>
      <w:r w:rsidRPr="002C46D1">
        <w:rPr>
          <w:rFonts w:ascii="Times New Roman" w:eastAsia="Times New Roman" w:hAnsi="Times New Roman" w:cs="Times New Roman"/>
          <w:b/>
          <w:sz w:val="24"/>
          <w:szCs w:val="24"/>
        </w:rPr>
        <w:t>абз</w:t>
      </w:r>
      <w:proofErr w:type="spellEnd"/>
      <w:r w:rsidRPr="002C46D1">
        <w:rPr>
          <w:rFonts w:ascii="Times New Roman" w:eastAsia="Times New Roman" w:hAnsi="Times New Roman" w:cs="Times New Roman"/>
          <w:b/>
          <w:sz w:val="24"/>
          <w:szCs w:val="24"/>
        </w:rPr>
        <w:t>. 2 п. 46 Положення про порядок та методологію кваліфікаційного оцінювання, який не дасть можливості звільнити з посад суддів Майдану;</w:t>
      </w:r>
    </w:p>
    <w:p w:rsidR="002C46D1" w:rsidRDefault="00F64137" w:rsidP="002C46D1">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скасувати зміни до Регламенту ВККС в частині вимог до висновків та інформації Громадської ради доброчесності;</w:t>
      </w:r>
    </w:p>
    <w:p w:rsidR="002C46D1" w:rsidRDefault="00F64137" w:rsidP="002C46D1">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відсторонити або іншим чином врегулювати питання конфлікту інтересів у членів ВККС під час оцінювання суддів;</w:t>
      </w:r>
    </w:p>
    <w:p w:rsidR="002C46D1" w:rsidRPr="002C46D1" w:rsidRDefault="00F64137" w:rsidP="002C46D1">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 xml:space="preserve">забезпечити своєчасне оприлюднення суддівських досьє, </w:t>
      </w:r>
      <w:r w:rsidRPr="002C46D1">
        <w:rPr>
          <w:rFonts w:ascii="Times New Roman" w:eastAsia="Times New Roman" w:hAnsi="Times New Roman" w:cs="Times New Roman"/>
          <w:sz w:val="24"/>
          <w:szCs w:val="24"/>
        </w:rPr>
        <w:t>в тому числі вмотивованих рішень за результатами розгляду висновків та інформації ГРД, а також передбачити в нормативних актах комісії обов’язковість оприлюднення балів, які отримує суддя (кандидат) від кожного члена комісії за кожним із показників відповідності критеріям кваліфікаційного оцінювання, та поіменних результатів голосування членів ВККС щодо висновків ГРД;</w:t>
      </w:r>
    </w:p>
    <w:p w:rsidR="00F64137" w:rsidRPr="00E06030" w:rsidRDefault="00F64137" w:rsidP="00F64137">
      <w:pPr>
        <w:pStyle w:val="aa"/>
        <w:numPr>
          <w:ilvl w:val="0"/>
          <w:numId w:val="1"/>
        </w:numPr>
        <w:spacing w:after="240"/>
        <w:ind w:left="360"/>
        <w:jc w:val="both"/>
        <w:rPr>
          <w:rFonts w:ascii="Times New Roman" w:eastAsia="Times New Roman" w:hAnsi="Times New Roman" w:cs="Times New Roman"/>
          <w:b/>
          <w:sz w:val="24"/>
          <w:szCs w:val="24"/>
        </w:rPr>
      </w:pPr>
      <w:r w:rsidRPr="002C46D1">
        <w:rPr>
          <w:rFonts w:ascii="Times New Roman" w:eastAsia="Times New Roman" w:hAnsi="Times New Roman" w:cs="Times New Roman"/>
          <w:b/>
          <w:sz w:val="24"/>
          <w:szCs w:val="24"/>
        </w:rPr>
        <w:t xml:space="preserve">встановити спільні з ГРД критерії доброчесності та правила взаємодії і комунікації. </w:t>
      </w:r>
      <w:r w:rsidRPr="002C46D1">
        <w:rPr>
          <w:rFonts w:ascii="Times New Roman" w:eastAsia="Times New Roman" w:hAnsi="Times New Roman" w:cs="Times New Roman"/>
          <w:sz w:val="24"/>
          <w:szCs w:val="24"/>
        </w:rPr>
        <w:t xml:space="preserve"> Зокрема, передбачити, що ВККС надає ГРД точно визначений перелік суддів, які проходитимуть оцінювання, та графік завчасно, але не пізніше ніж за 30 днів до співбесіди, та не проводить співбесіду із суддею, поки від ГРД не надійде повідомлення про результат оцінки.</w:t>
      </w:r>
    </w:p>
    <w:p w:rsidR="00F64137" w:rsidRPr="00E06030" w:rsidRDefault="00F64137" w:rsidP="00F64137">
      <w:pPr>
        <w:jc w:val="both"/>
        <w:rPr>
          <w:rFonts w:ascii="Times New Roman" w:eastAsia="Times New Roman" w:hAnsi="Times New Roman" w:cs="Times New Roman"/>
          <w:color w:val="auto"/>
          <w:sz w:val="24"/>
          <w:szCs w:val="24"/>
          <w:highlight w:val="white"/>
        </w:rPr>
      </w:pPr>
      <w:r w:rsidRPr="00E06030">
        <w:rPr>
          <w:rFonts w:ascii="Times New Roman" w:eastAsia="Times New Roman" w:hAnsi="Times New Roman" w:cs="Times New Roman"/>
          <w:color w:val="auto"/>
          <w:sz w:val="24"/>
          <w:szCs w:val="24"/>
        </w:rPr>
        <w:t xml:space="preserve">На нашу думку, </w:t>
      </w:r>
      <w:r w:rsidRPr="00E06030">
        <w:rPr>
          <w:rFonts w:ascii="Times New Roman" w:eastAsia="Times New Roman" w:hAnsi="Times New Roman" w:cs="Times New Roman"/>
          <w:color w:val="auto"/>
          <w:sz w:val="24"/>
          <w:szCs w:val="24"/>
          <w:highlight w:val="white"/>
        </w:rPr>
        <w:t>лише сукупне виконання цих пропозицій в повному обсязі дозволить забезпечити прозорість та ефективність процесу оцінювання суддів.</w:t>
      </w:r>
    </w:p>
    <w:p w:rsidR="00E06030" w:rsidRPr="00E06030" w:rsidRDefault="00E06030" w:rsidP="00F64137">
      <w:pPr>
        <w:jc w:val="both"/>
        <w:rPr>
          <w:rFonts w:ascii="Times New Roman" w:eastAsia="Times New Roman" w:hAnsi="Times New Roman" w:cs="Times New Roman"/>
          <w:color w:val="auto"/>
          <w:sz w:val="24"/>
          <w:szCs w:val="24"/>
          <w:highlight w:val="white"/>
        </w:rPr>
      </w:pPr>
    </w:p>
    <w:p w:rsidR="00F64137" w:rsidRPr="00E06030" w:rsidRDefault="00F64137" w:rsidP="00F64137">
      <w:pPr>
        <w:jc w:val="both"/>
        <w:rPr>
          <w:rFonts w:ascii="Times New Roman" w:eastAsia="Times New Roman" w:hAnsi="Times New Roman" w:cs="Times New Roman"/>
          <w:color w:val="auto"/>
          <w:sz w:val="24"/>
          <w:szCs w:val="24"/>
          <w:highlight w:val="white"/>
        </w:rPr>
      </w:pPr>
      <w:r w:rsidRPr="00E06030">
        <w:rPr>
          <w:rFonts w:ascii="Times New Roman" w:eastAsia="Times New Roman" w:hAnsi="Times New Roman" w:cs="Times New Roman"/>
          <w:color w:val="auto"/>
          <w:sz w:val="24"/>
          <w:szCs w:val="24"/>
          <w:highlight w:val="white"/>
        </w:rPr>
        <w:t xml:space="preserve">Закликаємо органи судової влади до співпраці з громадянським суспільством та очікуємо від них конструктивного діалогу та продовження руху </w:t>
      </w:r>
      <w:r w:rsidR="00E06030">
        <w:rPr>
          <w:rFonts w:ascii="Times New Roman" w:eastAsia="Times New Roman" w:hAnsi="Times New Roman" w:cs="Times New Roman"/>
          <w:color w:val="auto"/>
          <w:sz w:val="24"/>
          <w:szCs w:val="24"/>
          <w:highlight w:val="white"/>
          <w:lang w:val="uk-UA"/>
        </w:rPr>
        <w:t>в</w:t>
      </w:r>
      <w:r w:rsidRPr="00E06030">
        <w:rPr>
          <w:rFonts w:ascii="Times New Roman" w:eastAsia="Times New Roman" w:hAnsi="Times New Roman" w:cs="Times New Roman"/>
          <w:color w:val="auto"/>
          <w:sz w:val="24"/>
          <w:szCs w:val="24"/>
          <w:highlight w:val="white"/>
        </w:rPr>
        <w:t xml:space="preserve"> напрямку відкритості та прозорості.</w:t>
      </w:r>
    </w:p>
    <w:p w:rsidR="00F64137" w:rsidRDefault="00F64137" w:rsidP="00F64137">
      <w:pPr>
        <w:ind w:left="360"/>
        <w:jc w:val="both"/>
        <w:rPr>
          <w:rFonts w:ascii="Times New Roman" w:eastAsia="Times New Roman" w:hAnsi="Times New Roman" w:cs="Times New Roman"/>
          <w:sz w:val="24"/>
          <w:szCs w:val="24"/>
        </w:rPr>
      </w:pPr>
    </w:p>
    <w:p w:rsidR="00F64137" w:rsidRPr="00E06030" w:rsidRDefault="00F64137" w:rsidP="00E06030">
      <w:pPr>
        <w:jc w:val="both"/>
        <w:rPr>
          <w:rFonts w:ascii="Times New Roman" w:eastAsia="Times New Roman" w:hAnsi="Times New Roman" w:cs="Times New Roman"/>
          <w:i/>
          <w:color w:val="auto"/>
          <w:sz w:val="24"/>
          <w:szCs w:val="24"/>
          <w:highlight w:val="white"/>
        </w:rPr>
      </w:pPr>
      <w:bookmarkStart w:id="0" w:name="_GoBack"/>
      <w:r w:rsidRPr="00E06030">
        <w:rPr>
          <w:rFonts w:ascii="Times New Roman" w:eastAsia="Times New Roman" w:hAnsi="Times New Roman" w:cs="Times New Roman"/>
          <w:i/>
          <w:color w:val="auto"/>
          <w:sz w:val="24"/>
          <w:szCs w:val="24"/>
          <w:highlight w:val="white"/>
        </w:rPr>
        <w:t>Громадська організація «Всеукраїнське об’єднання «</w:t>
      </w:r>
      <w:proofErr w:type="spellStart"/>
      <w:r w:rsidRPr="00E06030">
        <w:rPr>
          <w:rFonts w:ascii="Times New Roman" w:eastAsia="Times New Roman" w:hAnsi="Times New Roman" w:cs="Times New Roman"/>
          <w:i/>
          <w:color w:val="auto"/>
          <w:sz w:val="24"/>
          <w:szCs w:val="24"/>
          <w:highlight w:val="white"/>
        </w:rPr>
        <w:t>Автомайдан</w:t>
      </w:r>
      <w:proofErr w:type="spellEnd"/>
      <w:r w:rsidRPr="00E06030">
        <w:rPr>
          <w:rFonts w:ascii="Times New Roman" w:eastAsia="Times New Roman" w:hAnsi="Times New Roman" w:cs="Times New Roman"/>
          <w:i/>
          <w:color w:val="auto"/>
          <w:sz w:val="24"/>
          <w:szCs w:val="24"/>
          <w:highlight w:val="white"/>
        </w:rPr>
        <w:t>»</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Громадська організація «Центр ЮЕЙ»</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 xml:space="preserve">Громадська організація «Громадський </w:t>
      </w:r>
      <w:proofErr w:type="spellStart"/>
      <w:r w:rsidRPr="00E06030">
        <w:rPr>
          <w:rFonts w:ascii="Times New Roman" w:eastAsia="Times New Roman" w:hAnsi="Times New Roman" w:cs="Times New Roman"/>
          <w:i/>
          <w:color w:val="auto"/>
          <w:sz w:val="24"/>
          <w:szCs w:val="24"/>
          <w:highlight w:val="white"/>
        </w:rPr>
        <w:t>люстраційний</w:t>
      </w:r>
      <w:proofErr w:type="spellEnd"/>
      <w:r w:rsidRPr="00E06030">
        <w:rPr>
          <w:rFonts w:ascii="Times New Roman" w:eastAsia="Times New Roman" w:hAnsi="Times New Roman" w:cs="Times New Roman"/>
          <w:i/>
          <w:color w:val="auto"/>
          <w:sz w:val="24"/>
          <w:szCs w:val="24"/>
          <w:highlight w:val="white"/>
        </w:rPr>
        <w:t xml:space="preserve"> комітет»</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Громадська організація «Трансперенсі Інтернешнл Україна»</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Центр політико-правових реформ</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Громадська організація «Всеукраїнська громадянська платформа «Нова країна»</w:t>
      </w:r>
    </w:p>
    <w:p w:rsidR="00F64137" w:rsidRPr="00E06030" w:rsidRDefault="00F64137" w:rsidP="00F64137">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lastRenderedPageBreak/>
        <w:t>Сумська обласна молодіжна громадська організація «Європейський вимір</w:t>
      </w:r>
    </w:p>
    <w:p w:rsidR="00EF632F" w:rsidRPr="00E06030" w:rsidRDefault="00F64137" w:rsidP="00E06030">
      <w:pPr>
        <w:jc w:val="both"/>
        <w:rPr>
          <w:rFonts w:ascii="Times New Roman" w:eastAsia="Times New Roman" w:hAnsi="Times New Roman" w:cs="Times New Roman"/>
          <w:i/>
          <w:color w:val="auto"/>
          <w:sz w:val="24"/>
          <w:szCs w:val="24"/>
          <w:highlight w:val="white"/>
        </w:rPr>
      </w:pPr>
      <w:r w:rsidRPr="00E06030">
        <w:rPr>
          <w:rFonts w:ascii="Times New Roman" w:eastAsia="Times New Roman" w:hAnsi="Times New Roman" w:cs="Times New Roman"/>
          <w:i/>
          <w:color w:val="auto"/>
          <w:sz w:val="24"/>
          <w:szCs w:val="24"/>
          <w:highlight w:val="white"/>
        </w:rPr>
        <w:t>Громадська організація «Центр демократії та верховенства права»</w:t>
      </w:r>
    </w:p>
    <w:bookmarkEnd w:id="0"/>
    <w:p w:rsidR="00EF632F" w:rsidRPr="000E1D5D" w:rsidRDefault="00EF632F">
      <w:pPr>
        <w:rPr>
          <w:lang w:val="uk-UA"/>
        </w:rPr>
      </w:pPr>
    </w:p>
    <w:tbl>
      <w:tblPr>
        <w:tblStyle w:val="TableNormal1"/>
        <w:tblW w:w="94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19"/>
        <w:gridCol w:w="4718"/>
      </w:tblGrid>
      <w:tr w:rsidR="004A6348" w:rsidRPr="000E1D5D" w:rsidTr="004A6348">
        <w:trPr>
          <w:trHeight w:val="2093"/>
        </w:trPr>
        <w:tc>
          <w:tcPr>
            <w:tcW w:w="4719" w:type="dxa"/>
            <w:tcBorders>
              <w:top w:val="nil"/>
              <w:left w:val="nil"/>
              <w:bottom w:val="nil"/>
              <w:right w:val="nil"/>
            </w:tcBorders>
            <w:shd w:val="clear" w:color="auto" w:fill="auto"/>
            <w:tcMar>
              <w:top w:w="80" w:type="dxa"/>
              <w:left w:w="494" w:type="dxa"/>
              <w:bottom w:w="80" w:type="dxa"/>
              <w:right w:w="80" w:type="dxa"/>
            </w:tcMar>
          </w:tcPr>
          <w:p w:rsidR="004A6348" w:rsidRPr="000E1D5D" w:rsidRDefault="004A6348" w:rsidP="004A6348">
            <w:pPr>
              <w:jc w:val="both"/>
              <w:rPr>
                <w:rFonts w:ascii="Calibri" w:eastAsia="Calibri" w:hAnsi="Calibri" w:cs="Calibri"/>
                <w:sz w:val="18"/>
                <w:szCs w:val="18"/>
              </w:rPr>
            </w:pPr>
            <w:r w:rsidRPr="000E1D5D">
              <w:rPr>
                <w:rFonts w:ascii="Calibri" w:hAnsi="Calibri"/>
                <w:b/>
                <w:bCs/>
                <w:sz w:val="18"/>
                <w:szCs w:val="18"/>
              </w:rPr>
              <w:t>Контакт для медіа:</w:t>
            </w:r>
            <w:r w:rsidRPr="000E1D5D">
              <w:rPr>
                <w:rFonts w:ascii="Calibri" w:hAnsi="Calibri"/>
                <w:sz w:val="18"/>
                <w:szCs w:val="18"/>
              </w:rPr>
              <w:t xml:space="preserve"> Олександр Аргат, керівник департаменту комунікації </w:t>
            </w:r>
            <w:proofErr w:type="spellStart"/>
            <w:r w:rsidRPr="000E1D5D">
              <w:rPr>
                <w:rFonts w:ascii="Calibri" w:hAnsi="Calibri"/>
                <w:sz w:val="18"/>
                <w:szCs w:val="18"/>
              </w:rPr>
              <w:t>Transparency</w:t>
            </w:r>
            <w:proofErr w:type="spellEnd"/>
            <w:r w:rsidRPr="000E1D5D">
              <w:rPr>
                <w:rFonts w:ascii="Calibri" w:hAnsi="Calibri"/>
                <w:sz w:val="18"/>
                <w:szCs w:val="18"/>
              </w:rPr>
              <w:t xml:space="preserve"> </w:t>
            </w:r>
            <w:proofErr w:type="spellStart"/>
            <w:r w:rsidRPr="000E1D5D">
              <w:rPr>
                <w:rFonts w:ascii="Calibri" w:hAnsi="Calibri"/>
                <w:sz w:val="18"/>
                <w:szCs w:val="18"/>
              </w:rPr>
              <w:t>International</w:t>
            </w:r>
            <w:proofErr w:type="spellEnd"/>
            <w:r w:rsidRPr="000E1D5D">
              <w:rPr>
                <w:rFonts w:ascii="Calibri" w:hAnsi="Calibri"/>
                <w:sz w:val="18"/>
                <w:szCs w:val="18"/>
              </w:rPr>
              <w:t xml:space="preserve"> Україна</w:t>
            </w:r>
          </w:p>
          <w:p w:rsidR="004A6348" w:rsidRPr="000E1D5D" w:rsidRDefault="004A6348" w:rsidP="004A6348">
            <w:pPr>
              <w:jc w:val="both"/>
              <w:rPr>
                <w:rFonts w:asciiTheme="minorHAnsi" w:eastAsia="Calibri" w:hAnsiTheme="minorHAnsi" w:cstheme="minorHAnsi"/>
                <w:sz w:val="18"/>
                <w:szCs w:val="18"/>
              </w:rPr>
            </w:pPr>
            <w:proofErr w:type="spellStart"/>
            <w:r w:rsidRPr="000E1D5D">
              <w:rPr>
                <w:rFonts w:ascii="Calibri" w:hAnsi="Calibri"/>
                <w:sz w:val="18"/>
                <w:szCs w:val="18"/>
              </w:rPr>
              <w:t>м.т</w:t>
            </w:r>
            <w:proofErr w:type="spellEnd"/>
            <w:r w:rsidRPr="000E1D5D">
              <w:rPr>
                <w:rFonts w:ascii="Calibri" w:hAnsi="Calibri"/>
                <w:sz w:val="18"/>
                <w:szCs w:val="18"/>
              </w:rPr>
              <w:t xml:space="preserve">. </w:t>
            </w:r>
            <w:r w:rsidRPr="000E1D5D">
              <w:rPr>
                <w:rFonts w:asciiTheme="minorHAnsi" w:hAnsiTheme="minorHAnsi" w:cstheme="minorHAnsi"/>
                <w:sz w:val="18"/>
                <w:szCs w:val="18"/>
              </w:rPr>
              <w:t>093 844 24 81</w:t>
            </w:r>
          </w:p>
          <w:p w:rsidR="004A6348" w:rsidRPr="000E1D5D" w:rsidRDefault="004A6348" w:rsidP="004A6348">
            <w:pPr>
              <w:jc w:val="both"/>
            </w:pPr>
            <w:r w:rsidRPr="000E1D5D">
              <w:rPr>
                <w:rFonts w:ascii="Calibri" w:hAnsi="Calibri"/>
                <w:sz w:val="18"/>
                <w:szCs w:val="18"/>
              </w:rPr>
              <w:t>e-</w:t>
            </w:r>
            <w:proofErr w:type="spellStart"/>
            <w:r w:rsidRPr="000E1D5D">
              <w:rPr>
                <w:rFonts w:ascii="Calibri" w:hAnsi="Calibri"/>
                <w:sz w:val="18"/>
                <w:szCs w:val="18"/>
              </w:rPr>
              <w:t>mail</w:t>
            </w:r>
            <w:proofErr w:type="spellEnd"/>
            <w:r w:rsidRPr="000E1D5D">
              <w:rPr>
                <w:rFonts w:ascii="Calibri" w:hAnsi="Calibri"/>
                <w:sz w:val="18"/>
                <w:szCs w:val="18"/>
              </w:rPr>
              <w:t xml:space="preserve">: </w:t>
            </w:r>
            <w:hyperlink r:id="rId7" w:history="1">
              <w:r w:rsidRPr="000E1D5D">
                <w:rPr>
                  <w:rStyle w:val="a9"/>
                  <w:rFonts w:ascii="Arial" w:hAnsi="Arial" w:cs="Arial"/>
                  <w:color w:val="auto"/>
                  <w:sz w:val="18"/>
                  <w:szCs w:val="18"/>
                  <w:bdr w:val="none" w:sz="0" w:space="0" w:color="auto" w:frame="1"/>
                </w:rPr>
                <w:t>argat@ti-ukraine.org</w:t>
              </w:r>
            </w:hyperlink>
          </w:p>
        </w:tc>
        <w:tc>
          <w:tcPr>
            <w:tcW w:w="4718" w:type="dxa"/>
            <w:tcBorders>
              <w:top w:val="nil"/>
              <w:left w:val="nil"/>
              <w:bottom w:val="nil"/>
              <w:right w:val="nil"/>
            </w:tcBorders>
            <w:shd w:val="clear" w:color="auto" w:fill="auto"/>
            <w:tcMar>
              <w:top w:w="80" w:type="dxa"/>
              <w:left w:w="494" w:type="dxa"/>
              <w:bottom w:w="80" w:type="dxa"/>
              <w:right w:w="80" w:type="dxa"/>
            </w:tcMar>
          </w:tcPr>
          <w:p w:rsidR="004A6348" w:rsidRPr="000E1D5D" w:rsidRDefault="004A6348" w:rsidP="00771272">
            <w:pPr>
              <w:ind w:left="414"/>
              <w:jc w:val="both"/>
            </w:pPr>
            <w:proofErr w:type="spellStart"/>
            <w:r w:rsidRPr="000E1D5D">
              <w:rPr>
                <w:rFonts w:ascii="Calibri" w:hAnsi="Calibri"/>
                <w:b/>
                <w:bCs/>
                <w:sz w:val="18"/>
                <w:szCs w:val="18"/>
              </w:rPr>
              <w:t>Transparency</w:t>
            </w:r>
            <w:proofErr w:type="spellEnd"/>
            <w:r w:rsidRPr="000E1D5D">
              <w:rPr>
                <w:rFonts w:ascii="Calibri" w:hAnsi="Calibri"/>
                <w:b/>
                <w:bCs/>
                <w:sz w:val="18"/>
                <w:szCs w:val="18"/>
              </w:rPr>
              <w:t xml:space="preserve"> </w:t>
            </w:r>
            <w:proofErr w:type="spellStart"/>
            <w:r w:rsidRPr="000E1D5D">
              <w:rPr>
                <w:rFonts w:ascii="Calibri" w:hAnsi="Calibri"/>
                <w:b/>
                <w:bCs/>
                <w:sz w:val="18"/>
                <w:szCs w:val="18"/>
              </w:rPr>
              <w:t>International</w:t>
            </w:r>
            <w:proofErr w:type="spellEnd"/>
            <w:r w:rsidRPr="000E1D5D">
              <w:rPr>
                <w:rFonts w:ascii="Calibri" w:hAnsi="Calibri"/>
                <w:b/>
                <w:bCs/>
                <w:sz w:val="18"/>
                <w:szCs w:val="18"/>
              </w:rPr>
              <w:t xml:space="preserve"> Україна</w:t>
            </w:r>
            <w:r w:rsidRPr="000E1D5D">
              <w:rPr>
                <w:rFonts w:ascii="Calibri" w:hAnsi="Calibri"/>
                <w:sz w:val="18"/>
                <w:szCs w:val="18"/>
              </w:rPr>
              <w:t xml:space="preserve"> є представництвом глобальної антикорупційної мережі </w:t>
            </w:r>
            <w:proofErr w:type="spellStart"/>
            <w:r w:rsidRPr="000E1D5D">
              <w:rPr>
                <w:rFonts w:ascii="Calibri" w:hAnsi="Calibri"/>
                <w:sz w:val="18"/>
                <w:szCs w:val="18"/>
              </w:rPr>
              <w:t>Transparency</w:t>
            </w:r>
            <w:proofErr w:type="spellEnd"/>
            <w:r w:rsidRPr="000E1D5D">
              <w:rPr>
                <w:rFonts w:ascii="Calibri" w:hAnsi="Calibri"/>
                <w:sz w:val="18"/>
                <w:szCs w:val="18"/>
              </w:rPr>
              <w:t xml:space="preserve"> </w:t>
            </w:r>
            <w:proofErr w:type="spellStart"/>
            <w:r w:rsidRPr="000E1D5D">
              <w:rPr>
                <w:rFonts w:ascii="Calibri" w:hAnsi="Calibri"/>
                <w:sz w:val="18"/>
                <w:szCs w:val="18"/>
              </w:rPr>
              <w:t>International</w:t>
            </w:r>
            <w:proofErr w:type="spellEnd"/>
            <w:r w:rsidRPr="000E1D5D">
              <w:rPr>
                <w:rFonts w:ascii="Calibri" w:hAnsi="Calibri"/>
                <w:sz w:val="18"/>
                <w:szCs w:val="18"/>
              </w:rPr>
              <w:t xml:space="preserve">,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8" w:history="1">
              <w:r w:rsidRPr="000E1D5D">
                <w:rPr>
                  <w:rStyle w:val="Hyperlink2"/>
                  <w:rFonts w:ascii="Calibri" w:hAnsi="Calibri"/>
                  <w:sz w:val="18"/>
                  <w:szCs w:val="18"/>
                </w:rPr>
                <w:t>www.ti-ukraine.org</w:t>
              </w:r>
            </w:hyperlink>
          </w:p>
        </w:tc>
      </w:tr>
    </w:tbl>
    <w:p w:rsidR="004A6348" w:rsidRPr="000E1D5D" w:rsidRDefault="004A6348">
      <w:pPr>
        <w:rPr>
          <w:lang w:val="uk-UA"/>
        </w:rPr>
      </w:pPr>
    </w:p>
    <w:sectPr w:rsidR="004A6348" w:rsidRPr="000E1D5D">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91" w:rsidRDefault="00DC6791" w:rsidP="004A6348">
      <w:pPr>
        <w:spacing w:line="240" w:lineRule="auto"/>
      </w:pPr>
      <w:r>
        <w:separator/>
      </w:r>
    </w:p>
  </w:endnote>
  <w:endnote w:type="continuationSeparator" w:id="0">
    <w:p w:rsidR="00DC6791" w:rsidRDefault="00DC6791" w:rsidP="004A6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91" w:rsidRDefault="00DC6791" w:rsidP="004A6348">
      <w:pPr>
        <w:spacing w:line="240" w:lineRule="auto"/>
      </w:pPr>
      <w:r>
        <w:separator/>
      </w:r>
    </w:p>
  </w:footnote>
  <w:footnote w:type="continuationSeparator" w:id="0">
    <w:p w:rsidR="00DC6791" w:rsidRDefault="00DC6791" w:rsidP="004A6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48" w:rsidRDefault="004A6348" w:rsidP="004A6348">
    <w:pPr>
      <w:ind w:left="5103"/>
      <w:rPr>
        <w:color w:val="00A1DA"/>
        <w:sz w:val="18"/>
        <w:szCs w:val="18"/>
      </w:rPr>
    </w:pPr>
  </w:p>
  <w:p w:rsidR="004A6348" w:rsidRDefault="004A6348" w:rsidP="004A6348">
    <w:pPr>
      <w:ind w:left="5103"/>
      <w:rPr>
        <w:color w:val="00A1DA"/>
        <w:sz w:val="18"/>
        <w:szCs w:val="18"/>
      </w:rPr>
    </w:pPr>
  </w:p>
  <w:p w:rsidR="004A6348" w:rsidRDefault="004A6348" w:rsidP="004A6348">
    <w:pPr>
      <w:ind w:left="5103"/>
      <w:rPr>
        <w:color w:val="00A1DA"/>
        <w:sz w:val="18"/>
        <w:szCs w:val="18"/>
        <w:lang w:val="uk-UA"/>
      </w:rPr>
    </w:pPr>
    <w:r>
      <w:rPr>
        <w:noProof/>
        <w:lang w:val="ru-RU"/>
      </w:rPr>
      <w:drawing>
        <wp:anchor distT="0" distB="0" distL="114300" distR="114300" simplePos="0" relativeHeight="251659264" behindDoc="0" locked="0" layoutInCell="1" allowOverlap="1" wp14:anchorId="483FA319" wp14:editId="4C60BF70">
          <wp:simplePos x="0" y="0"/>
          <wp:positionH relativeFrom="column">
            <wp:posOffset>80645</wp:posOffset>
          </wp:positionH>
          <wp:positionV relativeFrom="paragraph">
            <wp:posOffset>9525</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r>
      <w:rPr>
        <w:color w:val="00A1DA"/>
        <w:sz w:val="18"/>
        <w:szCs w:val="18"/>
      </w:rPr>
      <w:t>вул. Січових Стрільців 37</w:t>
    </w:r>
    <w:r>
      <w:rPr>
        <w:color w:val="00A1DA"/>
        <w:sz w:val="18"/>
        <w:szCs w:val="18"/>
        <w:lang w:val="uk-UA"/>
      </w:rPr>
      <w:t>-</w:t>
    </w:r>
    <w:r>
      <w:rPr>
        <w:color w:val="00A1DA"/>
        <w:sz w:val="18"/>
        <w:szCs w:val="18"/>
      </w:rPr>
      <w:t>41, 5-й поверх, м. Київ, 04053</w:t>
    </w:r>
  </w:p>
  <w:p w:rsidR="004A6348" w:rsidRDefault="004A6348" w:rsidP="004A6348">
    <w:pPr>
      <w:ind w:left="5103"/>
      <w:rPr>
        <w:color w:val="00A1DA"/>
        <w:sz w:val="18"/>
        <w:szCs w:val="18"/>
        <w:lang w:val="uk-UA"/>
      </w:rPr>
    </w:pPr>
    <w:proofErr w:type="spellStart"/>
    <w:r>
      <w:rPr>
        <w:color w:val="00ADEA"/>
        <w:sz w:val="18"/>
        <w:szCs w:val="18"/>
        <w:lang w:val="uk-UA"/>
      </w:rPr>
      <w:t>тел</w:t>
    </w:r>
    <w:proofErr w:type="spellEnd"/>
    <w:r>
      <w:rPr>
        <w:color w:val="00ADEA"/>
        <w:sz w:val="18"/>
        <w:szCs w:val="18"/>
        <w:lang w:val="uk-UA"/>
      </w:rPr>
      <w:t>.: +380 44 360 52 42</w:t>
    </w:r>
  </w:p>
  <w:p w:rsidR="004A6348" w:rsidRPr="00CA61E0" w:rsidRDefault="004A6348" w:rsidP="004A6348">
    <w:pPr>
      <w:ind w:left="5103"/>
      <w:rPr>
        <w:color w:val="00A1DA"/>
        <w:sz w:val="18"/>
        <w:szCs w:val="18"/>
        <w:lang w:val="en-US"/>
      </w:rPr>
    </w:pPr>
    <w:r>
      <w:rPr>
        <w:color w:val="00ADEA"/>
        <w:sz w:val="18"/>
        <w:szCs w:val="18"/>
        <w:lang w:val="it-IT"/>
      </w:rPr>
      <w:t>e-mail: office@ti-ukraine.org</w:t>
    </w:r>
  </w:p>
  <w:p w:rsidR="004A6348" w:rsidRPr="004A6348" w:rsidRDefault="004A6348">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E430F"/>
    <w:multiLevelType w:val="hybridMultilevel"/>
    <w:tmpl w:val="0520FEA0"/>
    <w:lvl w:ilvl="0" w:tplc="BBAA08D4">
      <w:start w:val="5"/>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4399"/>
    <w:rsid w:val="000E1D5D"/>
    <w:rsid w:val="001440A0"/>
    <w:rsid w:val="001D5218"/>
    <w:rsid w:val="00287C10"/>
    <w:rsid w:val="002C3D03"/>
    <w:rsid w:val="002C46D1"/>
    <w:rsid w:val="002D43C5"/>
    <w:rsid w:val="003B5582"/>
    <w:rsid w:val="0046591C"/>
    <w:rsid w:val="00475465"/>
    <w:rsid w:val="004A6348"/>
    <w:rsid w:val="005466E6"/>
    <w:rsid w:val="00605A10"/>
    <w:rsid w:val="007B1F79"/>
    <w:rsid w:val="00833FAA"/>
    <w:rsid w:val="00836277"/>
    <w:rsid w:val="00855EE3"/>
    <w:rsid w:val="009D04EF"/>
    <w:rsid w:val="00BB2713"/>
    <w:rsid w:val="00C6087C"/>
    <w:rsid w:val="00CB2047"/>
    <w:rsid w:val="00D64A56"/>
    <w:rsid w:val="00DC6791"/>
    <w:rsid w:val="00E06030"/>
    <w:rsid w:val="00EF632F"/>
    <w:rsid w:val="00F0749B"/>
    <w:rsid w:val="00F27CFC"/>
    <w:rsid w:val="00F54399"/>
    <w:rsid w:val="00F64137"/>
    <w:rsid w:val="00F6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8EAF"/>
  <w15:docId w15:val="{0B65C861-B4EA-4258-8908-73116E9E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k"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4A6348"/>
    <w:pPr>
      <w:tabs>
        <w:tab w:val="center" w:pos="4677"/>
        <w:tab w:val="right" w:pos="9355"/>
      </w:tabs>
      <w:spacing w:line="240" w:lineRule="auto"/>
    </w:pPr>
  </w:style>
  <w:style w:type="character" w:customStyle="1" w:styleId="a6">
    <w:name w:val="Верхний колонтитул Знак"/>
    <w:basedOn w:val="a0"/>
    <w:link w:val="a5"/>
    <w:uiPriority w:val="99"/>
    <w:rsid w:val="004A6348"/>
  </w:style>
  <w:style w:type="paragraph" w:styleId="a7">
    <w:name w:val="footer"/>
    <w:basedOn w:val="a"/>
    <w:link w:val="a8"/>
    <w:uiPriority w:val="99"/>
    <w:unhideWhenUsed/>
    <w:rsid w:val="004A6348"/>
    <w:pPr>
      <w:tabs>
        <w:tab w:val="center" w:pos="4677"/>
        <w:tab w:val="right" w:pos="9355"/>
      </w:tabs>
      <w:spacing w:line="240" w:lineRule="auto"/>
    </w:pPr>
  </w:style>
  <w:style w:type="character" w:customStyle="1" w:styleId="a8">
    <w:name w:val="Нижний колонтитул Знак"/>
    <w:basedOn w:val="a0"/>
    <w:link w:val="a7"/>
    <w:uiPriority w:val="99"/>
    <w:rsid w:val="004A6348"/>
  </w:style>
  <w:style w:type="table" w:customStyle="1" w:styleId="TableNormal1">
    <w:name w:val="Table Normal1"/>
    <w:rsid w:val="004A6348"/>
    <w:pPr>
      <w:pBdr>
        <w:bar w:val="nil"/>
      </w:pBdr>
      <w:spacing w:line="240" w:lineRule="auto"/>
    </w:pPr>
    <w:rPr>
      <w:rFonts w:ascii="Times New Roman" w:eastAsia="Arial Unicode MS" w:hAnsi="Times New Roman" w:cs="Times New Roman"/>
      <w:color w:val="auto"/>
      <w:sz w:val="20"/>
      <w:szCs w:val="20"/>
      <w:bdr w:val="nil"/>
      <w:lang w:val="uk-UA" w:eastAsia="uk-UA"/>
    </w:rPr>
    <w:tblPr>
      <w:tblInd w:w="0" w:type="dxa"/>
      <w:tblCellMar>
        <w:top w:w="0" w:type="dxa"/>
        <w:left w:w="0" w:type="dxa"/>
        <w:bottom w:w="0" w:type="dxa"/>
        <w:right w:w="0" w:type="dxa"/>
      </w:tblCellMar>
    </w:tblPr>
  </w:style>
  <w:style w:type="character" w:customStyle="1" w:styleId="Hyperlink2">
    <w:name w:val="Hyperlink.2"/>
    <w:basedOn w:val="a0"/>
    <w:rsid w:val="004A6348"/>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character" w:styleId="a9">
    <w:name w:val="Hyperlink"/>
    <w:basedOn w:val="a0"/>
    <w:uiPriority w:val="99"/>
    <w:unhideWhenUsed/>
    <w:rsid w:val="004A6348"/>
    <w:rPr>
      <w:color w:val="0000FF"/>
      <w:u w:val="single"/>
    </w:rPr>
  </w:style>
  <w:style w:type="paragraph" w:styleId="aa">
    <w:name w:val="List Paragraph"/>
    <w:basedOn w:val="a"/>
    <w:uiPriority w:val="34"/>
    <w:qFormat/>
    <w:rsid w:val="002C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28</cp:revision>
  <dcterms:created xsi:type="dcterms:W3CDTF">2018-03-01T14:50:00Z</dcterms:created>
  <dcterms:modified xsi:type="dcterms:W3CDTF">2018-04-05T09:06:00Z</dcterms:modified>
</cp:coreProperties>
</file>