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EDF67" w14:textId="77777777" w:rsidR="00DD277C" w:rsidRPr="008670B5" w:rsidRDefault="00FD2250" w:rsidP="00B16CCC">
      <w:pPr>
        <w:rPr>
          <w:rFonts w:ascii="Minion Pro" w:hAnsi="Minion Pro"/>
          <w:b/>
          <w:sz w:val="28"/>
          <w:szCs w:val="28"/>
          <w:lang w:val="uk-UA"/>
        </w:rPr>
      </w:pPr>
      <w:r w:rsidRPr="008670B5">
        <w:rPr>
          <w:rFonts w:ascii="Minion Pro" w:hAnsi="Minion Pro"/>
          <w:noProof/>
          <w:sz w:val="28"/>
          <w:szCs w:val="28"/>
        </w:rPr>
        <w:drawing>
          <wp:inline distT="0" distB="0" distL="0" distR="0" wp14:anchorId="5E744F04" wp14:editId="2F0833EE">
            <wp:extent cx="7071360" cy="1767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D552D" w14:textId="77777777" w:rsidR="00DD277C" w:rsidRPr="008670B5" w:rsidRDefault="00DD277C" w:rsidP="00DD277C">
      <w:pPr>
        <w:spacing w:after="0" w:line="240" w:lineRule="auto"/>
        <w:rPr>
          <w:rFonts w:ascii="Minion Pro" w:eastAsia="Times New Roman" w:hAnsi="Minion Pro" w:cs="Arial"/>
          <w:b/>
          <w:sz w:val="28"/>
          <w:szCs w:val="28"/>
          <w:lang w:val="ru-RU"/>
        </w:rPr>
      </w:pPr>
    </w:p>
    <w:p w14:paraId="14696243" w14:textId="7214121D" w:rsidR="00B16CCC" w:rsidRPr="008670B5" w:rsidRDefault="00722219" w:rsidP="00B16CCC">
      <w:pPr>
        <w:rPr>
          <w:rFonts w:ascii="Minion Pro" w:hAnsi="Minion Pro" w:cs="Times New Roman"/>
          <w:b/>
          <w:sz w:val="28"/>
          <w:szCs w:val="28"/>
          <w:lang w:val="uk-UA"/>
        </w:rPr>
      </w:pPr>
      <w:r w:rsidRPr="00B72D85">
        <w:rPr>
          <w:rFonts w:ascii="Minion Pro" w:hAnsi="Minion Pro" w:cs="Times New Roman"/>
          <w:b/>
          <w:sz w:val="28"/>
          <w:szCs w:val="28"/>
          <w:lang w:val="ru-RU"/>
        </w:rPr>
        <w:t>0</w:t>
      </w:r>
      <w:r w:rsidR="000D5E8A">
        <w:rPr>
          <w:rFonts w:ascii="Minion Pro" w:hAnsi="Minion Pro" w:cs="Times New Roman"/>
          <w:b/>
          <w:sz w:val="28"/>
          <w:szCs w:val="28"/>
          <w:lang w:val="ru-RU"/>
        </w:rPr>
        <w:t>5</w:t>
      </w:r>
      <w:r w:rsidRPr="00B72D85">
        <w:rPr>
          <w:rFonts w:ascii="Minion Pro" w:hAnsi="Minion Pro" w:cs="Times New Roman"/>
          <w:b/>
          <w:sz w:val="28"/>
          <w:szCs w:val="28"/>
          <w:lang w:val="ru-RU"/>
        </w:rPr>
        <w:t xml:space="preserve"> </w:t>
      </w:r>
      <w:r>
        <w:rPr>
          <w:rFonts w:ascii="Minion Pro" w:hAnsi="Minion Pro" w:cs="Times New Roman"/>
          <w:b/>
          <w:sz w:val="28"/>
          <w:szCs w:val="28"/>
          <w:lang w:val="uk-UA"/>
        </w:rPr>
        <w:t>квітня</w:t>
      </w:r>
      <w:r w:rsidR="00B16CCC" w:rsidRPr="008670B5">
        <w:rPr>
          <w:rFonts w:ascii="Minion Pro" w:hAnsi="Minion Pro" w:cs="Times New Roman"/>
          <w:b/>
          <w:sz w:val="28"/>
          <w:szCs w:val="28"/>
          <w:lang w:val="uk-UA"/>
        </w:rPr>
        <w:t xml:space="preserve"> 2018</w:t>
      </w:r>
    </w:p>
    <w:p w14:paraId="29EB5FAF" w14:textId="3B9B993B" w:rsidR="00B16CCC" w:rsidRPr="00BD09F6" w:rsidRDefault="00B16CCC" w:rsidP="009C733E">
      <w:pPr>
        <w:spacing w:after="0" w:line="240" w:lineRule="auto"/>
        <w:jc w:val="both"/>
        <w:rPr>
          <w:rFonts w:ascii="Minion Pro" w:hAnsi="Minion Pro" w:cs="Times New Roman"/>
          <w:b/>
          <w:sz w:val="28"/>
          <w:szCs w:val="28"/>
          <w:lang w:val="uk-UA"/>
        </w:rPr>
      </w:pPr>
      <w:bookmarkStart w:id="0" w:name="_GoBack"/>
      <w:r w:rsidRPr="008670B5">
        <w:rPr>
          <w:rFonts w:ascii="Minion Pro" w:hAnsi="Minion Pro" w:cs="Times New Roman"/>
          <w:b/>
          <w:sz w:val="28"/>
          <w:szCs w:val="28"/>
        </w:rPr>
        <w:t>TRANSPARENCY</w:t>
      </w:r>
      <w:r w:rsidRPr="008670B5">
        <w:rPr>
          <w:rFonts w:ascii="Minion Pro" w:hAnsi="Minion Pro" w:cs="Times New Roman"/>
          <w:b/>
          <w:sz w:val="28"/>
          <w:szCs w:val="28"/>
          <w:lang w:val="uk-UA"/>
        </w:rPr>
        <w:t xml:space="preserve"> </w:t>
      </w:r>
      <w:r w:rsidRPr="008670B5">
        <w:rPr>
          <w:rFonts w:ascii="Minion Pro" w:hAnsi="Minion Pro" w:cs="Times New Roman"/>
          <w:b/>
          <w:sz w:val="28"/>
          <w:szCs w:val="28"/>
        </w:rPr>
        <w:t>INTERNATIONAL</w:t>
      </w:r>
      <w:r w:rsidRPr="008670B5">
        <w:rPr>
          <w:rFonts w:ascii="Minion Pro" w:hAnsi="Minion Pro" w:cs="Times New Roman"/>
          <w:b/>
          <w:sz w:val="28"/>
          <w:szCs w:val="28"/>
          <w:lang w:val="uk-UA"/>
        </w:rPr>
        <w:t xml:space="preserve"> УКРАЇНА </w:t>
      </w:r>
      <w:r w:rsidR="00BC6BFD" w:rsidRPr="008670B5">
        <w:rPr>
          <w:rFonts w:ascii="Minion Pro" w:hAnsi="Minion Pro" w:cs="Times New Roman"/>
          <w:b/>
          <w:sz w:val="28"/>
          <w:szCs w:val="28"/>
          <w:lang w:val="uk-UA"/>
        </w:rPr>
        <w:t xml:space="preserve">рекомендує АРМА переглянути </w:t>
      </w:r>
      <w:r w:rsidR="009C733E" w:rsidRPr="008670B5">
        <w:rPr>
          <w:rFonts w:ascii="Minion Pro" w:hAnsi="Minion Pro" w:cs="Times New Roman"/>
          <w:b/>
          <w:sz w:val="28"/>
          <w:szCs w:val="28"/>
          <w:lang w:val="uk-UA"/>
        </w:rPr>
        <w:t xml:space="preserve">умови </w:t>
      </w:r>
      <w:r w:rsidR="006332AC">
        <w:rPr>
          <w:rFonts w:ascii="Minion Pro" w:hAnsi="Minion Pro" w:cs="Times New Roman"/>
          <w:b/>
          <w:sz w:val="28"/>
          <w:szCs w:val="28"/>
          <w:lang w:val="uk-UA"/>
        </w:rPr>
        <w:t>до організаторів електронних торгів</w:t>
      </w:r>
    </w:p>
    <w:bookmarkEnd w:id="0"/>
    <w:p w14:paraId="0BF11FFA" w14:textId="671DB91B" w:rsidR="007A2ABE" w:rsidRPr="008670B5" w:rsidRDefault="00C12429" w:rsidP="007A2ABE">
      <w:pPr>
        <w:spacing w:before="240" w:after="0" w:line="240" w:lineRule="auto"/>
        <w:jc w:val="both"/>
        <w:rPr>
          <w:rFonts w:ascii="Minion Pro" w:hAnsi="Minion Pro" w:cs="Times New Roman"/>
          <w:sz w:val="28"/>
          <w:szCs w:val="28"/>
          <w:lang w:val="uk-UA"/>
        </w:rPr>
      </w:pPr>
      <w:r>
        <w:rPr>
          <w:rFonts w:ascii="Minion Pro" w:hAnsi="Minion Pro" w:cs="Times New Roman"/>
          <w:sz w:val="28"/>
          <w:szCs w:val="28"/>
          <w:lang w:val="uk-UA"/>
        </w:rPr>
        <w:t>АРМА</w:t>
      </w:r>
      <w:r w:rsidR="00C9067E" w:rsidRPr="008670B5">
        <w:rPr>
          <w:rFonts w:ascii="Minion Pro" w:hAnsi="Minion Pro" w:cs="Times New Roman"/>
          <w:sz w:val="28"/>
          <w:szCs w:val="28"/>
          <w:lang w:val="uk-UA"/>
        </w:rPr>
        <w:t xml:space="preserve"> оголосило конкурс для встановлення нового організатора електронних торгів. За результатами відбору через платформу, яка відповідає усім вимогам, протягом </w:t>
      </w:r>
      <w:r>
        <w:rPr>
          <w:rFonts w:ascii="Minion Pro" w:hAnsi="Minion Pro" w:cs="Times New Roman"/>
          <w:sz w:val="28"/>
          <w:szCs w:val="28"/>
          <w:lang w:val="uk-UA"/>
        </w:rPr>
        <w:t>2018</w:t>
      </w:r>
      <w:r w:rsidRPr="008670B5">
        <w:rPr>
          <w:rFonts w:ascii="Minion Pro" w:hAnsi="Minion Pro" w:cs="Times New Roman"/>
          <w:sz w:val="28"/>
          <w:szCs w:val="28"/>
          <w:lang w:val="uk-UA"/>
        </w:rPr>
        <w:t xml:space="preserve"> </w:t>
      </w:r>
      <w:r w:rsidR="00C9067E" w:rsidRPr="008670B5">
        <w:rPr>
          <w:rFonts w:ascii="Minion Pro" w:hAnsi="Minion Pro" w:cs="Times New Roman"/>
          <w:sz w:val="28"/>
          <w:szCs w:val="28"/>
          <w:lang w:val="uk-UA"/>
        </w:rPr>
        <w:t xml:space="preserve">року продаватимуться </w:t>
      </w:r>
      <w:r w:rsidR="007A2ABE" w:rsidRPr="008670B5">
        <w:rPr>
          <w:rFonts w:ascii="Minion Pro" w:hAnsi="Minion Pro" w:cs="Times New Roman"/>
          <w:sz w:val="28"/>
          <w:szCs w:val="28"/>
          <w:lang w:val="uk-UA"/>
        </w:rPr>
        <w:t xml:space="preserve">заарештовані активи, які були передані АРМА рішенням суду та щодо яких було ухвалено рішення про реалізацію. </w:t>
      </w:r>
    </w:p>
    <w:p w14:paraId="3C646D12" w14:textId="77777777" w:rsidR="007A2ABE" w:rsidRPr="008670B5" w:rsidRDefault="00BD09F6" w:rsidP="007A2ABE">
      <w:pPr>
        <w:spacing w:before="240" w:after="0" w:line="240" w:lineRule="auto"/>
        <w:jc w:val="both"/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Minion Pro" w:hAnsi="Minion Pro" w:cs="Times New Roman"/>
          <w:sz w:val="28"/>
          <w:szCs w:val="28"/>
          <w:lang w:val="uk-UA"/>
        </w:rPr>
        <w:t>Вимоги затверджені</w:t>
      </w:r>
      <w:r w:rsidR="007A2ABE" w:rsidRPr="008670B5">
        <w:rPr>
          <w:rFonts w:ascii="Minion Pro" w:hAnsi="Minion Pro" w:cs="Times New Roman"/>
          <w:sz w:val="28"/>
          <w:szCs w:val="28"/>
          <w:lang w:val="uk-UA"/>
        </w:rPr>
        <w:t xml:space="preserve"> </w:t>
      </w:r>
      <w:r w:rsidR="007A2ABE" w:rsidRPr="008670B5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>постановою Кабінету Міністрів України від 9 серпня 2017 р. № 558 «Про відбір на конкурсних засадах юридичних осіб, які здійснюють реалізацію арештованих активів».</w:t>
      </w:r>
    </w:p>
    <w:p w14:paraId="73B92EAB" w14:textId="0D0ABEDF" w:rsidR="008670B5" w:rsidRDefault="007A2ABE" w:rsidP="008670B5">
      <w:pPr>
        <w:spacing w:before="240" w:after="0" w:line="240" w:lineRule="auto"/>
        <w:jc w:val="both"/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</w:pPr>
      <w:r w:rsidRPr="008670B5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>Однак на сьогодні постанова</w:t>
      </w:r>
      <w:r w:rsidR="008E1187" w:rsidRPr="008670B5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 xml:space="preserve"> містить </w:t>
      </w:r>
      <w:r w:rsidR="008E1187" w:rsidRPr="00A81C6A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 xml:space="preserve">низку </w:t>
      </w:r>
      <w:r w:rsidR="00A81C6A" w:rsidRPr="00A81C6A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>дискримінаційних</w:t>
      </w:r>
      <w:r w:rsidR="008E1187" w:rsidRPr="00A81C6A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 xml:space="preserve"> норм</w:t>
      </w:r>
      <w:r w:rsidR="001A4B8C" w:rsidRPr="00A81C6A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>,</w:t>
      </w:r>
      <w:r w:rsidR="001A4B8C" w:rsidRPr="008670B5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 xml:space="preserve"> які</w:t>
      </w:r>
      <w:r w:rsidR="000D7CD0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>,</w:t>
      </w:r>
      <w:r w:rsidR="001A4B8C" w:rsidRPr="008670B5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 xml:space="preserve"> на нашу думку</w:t>
      </w:r>
      <w:r w:rsidR="00594A5F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>, заважають</w:t>
      </w:r>
      <w:r w:rsidR="00A82723" w:rsidRPr="00A82723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2723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 xml:space="preserve">АРМА повноцінно виконувати свою функцію реалізації арештованих активів. </w:t>
      </w:r>
      <w:r w:rsidR="001A4B8C" w:rsidRPr="008670B5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 xml:space="preserve">До обговорення відповідних змін були залучені представники </w:t>
      </w:r>
      <w:r w:rsidR="001A4B8C" w:rsidRPr="008670B5">
        <w:rPr>
          <w:rFonts w:ascii="Minion Pro" w:hAnsi="Minion Pro" w:cs="Times New Roman"/>
          <w:sz w:val="28"/>
          <w:szCs w:val="28"/>
        </w:rPr>
        <w:t>TI</w:t>
      </w:r>
      <w:r w:rsidR="001A4B8C" w:rsidRPr="008670B5">
        <w:rPr>
          <w:rFonts w:ascii="Minion Pro" w:hAnsi="Minion Pro" w:cs="Times New Roman"/>
          <w:sz w:val="28"/>
          <w:szCs w:val="28"/>
          <w:lang w:val="uk-UA"/>
        </w:rPr>
        <w:t xml:space="preserve"> Україна та майданчики системи </w:t>
      </w:r>
      <w:proofErr w:type="spellStart"/>
      <w:r w:rsidR="001A4B8C" w:rsidRPr="008670B5">
        <w:rPr>
          <w:rFonts w:ascii="Minion Pro" w:hAnsi="Minion Pro" w:cs="Times New Roman"/>
          <w:sz w:val="28"/>
          <w:szCs w:val="28"/>
        </w:rPr>
        <w:t>Prozzoro</w:t>
      </w:r>
      <w:proofErr w:type="spellEnd"/>
      <w:r w:rsidR="00C12429">
        <w:rPr>
          <w:rFonts w:ascii="Minion Pro" w:hAnsi="Minion Pro" w:cs="Times New Roman"/>
          <w:sz w:val="28"/>
          <w:szCs w:val="28"/>
          <w:lang w:val="uk-UA"/>
        </w:rPr>
        <w:t>.</w:t>
      </w:r>
      <w:r w:rsidR="00C12429">
        <w:rPr>
          <w:rFonts w:ascii="Minion Pro" w:hAnsi="Minion Pro" w:cs="Times New Roman"/>
          <w:sz w:val="28"/>
          <w:szCs w:val="28"/>
        </w:rPr>
        <w:t>Sale</w:t>
      </w:r>
      <w:r w:rsidR="001A4B8C" w:rsidRPr="008670B5">
        <w:rPr>
          <w:rFonts w:ascii="Minion Pro" w:hAnsi="Minion Pro" w:cs="Times New Roman"/>
          <w:sz w:val="28"/>
          <w:szCs w:val="28"/>
          <w:lang w:val="uk-UA"/>
        </w:rPr>
        <w:t xml:space="preserve">. </w:t>
      </w:r>
      <w:r w:rsidR="00C12429" w:rsidRPr="008670B5">
        <w:rPr>
          <w:rFonts w:ascii="Minion Pro" w:hAnsi="Minion Pro" w:cs="Times New Roman"/>
          <w:sz w:val="28"/>
          <w:szCs w:val="28"/>
          <w:lang w:val="uk-UA"/>
        </w:rPr>
        <w:t>Застереження</w:t>
      </w:r>
      <w:r w:rsidR="008670B5" w:rsidRPr="008670B5">
        <w:rPr>
          <w:rFonts w:ascii="Minion Pro" w:hAnsi="Minion Pro" w:cs="Times New Roman"/>
          <w:sz w:val="28"/>
          <w:szCs w:val="28"/>
          <w:lang w:val="uk-UA"/>
        </w:rPr>
        <w:t xml:space="preserve"> ТІ</w:t>
      </w:r>
      <w:r w:rsidR="00C12429">
        <w:rPr>
          <w:rFonts w:ascii="Minion Pro" w:hAnsi="Minion Pro" w:cs="Times New Roman"/>
          <w:sz w:val="28"/>
          <w:szCs w:val="28"/>
          <w:lang w:val="uk-UA"/>
        </w:rPr>
        <w:t>У</w:t>
      </w:r>
      <w:r w:rsidR="008670B5" w:rsidRPr="008670B5">
        <w:rPr>
          <w:rFonts w:ascii="Minion Pro" w:hAnsi="Minion Pro" w:cs="Times New Roman"/>
          <w:sz w:val="28"/>
          <w:szCs w:val="28"/>
          <w:lang w:val="uk-UA"/>
        </w:rPr>
        <w:t xml:space="preserve"> с</w:t>
      </w:r>
      <w:r w:rsidR="008670B5" w:rsidRPr="008670B5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 xml:space="preserve">тосуються вимог </w:t>
      </w:r>
      <w:r w:rsidR="00827BB0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 xml:space="preserve">до реалізаторів арештованого майна в частині </w:t>
      </w:r>
      <w:r w:rsidR="008670B5" w:rsidRPr="008670B5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 xml:space="preserve">зберігання і </w:t>
      </w:r>
      <w:r w:rsidR="00C12429" w:rsidRPr="008670B5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>транспортування</w:t>
      </w:r>
      <w:r w:rsidR="008670B5" w:rsidRPr="008670B5">
        <w:rPr>
          <w:rFonts w:ascii="Minion Pro" w:hAnsi="Minion Pro"/>
          <w:color w:val="000000"/>
          <w:sz w:val="28"/>
          <w:szCs w:val="28"/>
          <w:shd w:val="clear" w:color="auto" w:fill="FFFFFF"/>
          <w:lang w:val="uk-UA"/>
        </w:rPr>
        <w:t xml:space="preserve"> активів, стартової ціни та оцінки майна.</w:t>
      </w:r>
    </w:p>
    <w:p w14:paraId="41D3ED74" w14:textId="77777777" w:rsidR="0088141A" w:rsidRPr="0088141A" w:rsidRDefault="0088141A" w:rsidP="0088141A">
      <w:pPr>
        <w:spacing w:before="240" w:after="0" w:line="240" w:lineRule="auto"/>
        <w:jc w:val="both"/>
        <w:rPr>
          <w:rFonts w:ascii="Minion Pro" w:hAnsi="Minion Pro" w:cs="Times New Roman"/>
          <w:b/>
          <w:sz w:val="28"/>
          <w:szCs w:val="28"/>
          <w:lang w:val="uk-UA"/>
        </w:rPr>
      </w:pPr>
      <w:r w:rsidRPr="0088141A">
        <w:rPr>
          <w:rFonts w:ascii="Minion Pro" w:hAnsi="Minion Pro" w:cs="Times New Roman"/>
          <w:b/>
          <w:sz w:val="28"/>
          <w:szCs w:val="28"/>
          <w:lang w:val="uk-UA"/>
        </w:rPr>
        <w:t>Рекомендуємо:</w:t>
      </w:r>
    </w:p>
    <w:p w14:paraId="7A495700" w14:textId="37E0C93E" w:rsidR="0088141A" w:rsidRPr="0088141A" w:rsidRDefault="0088141A" w:rsidP="0088141A">
      <w:pPr>
        <w:spacing w:before="240" w:after="0" w:line="240" w:lineRule="auto"/>
        <w:jc w:val="both"/>
        <w:rPr>
          <w:rFonts w:ascii="Minion Pro" w:hAnsi="Minion Pro" w:cs="Times New Roman"/>
          <w:sz w:val="28"/>
          <w:szCs w:val="28"/>
          <w:lang w:val="uk-UA"/>
        </w:rPr>
      </w:pPr>
      <w:r w:rsidRPr="0088141A">
        <w:rPr>
          <w:rFonts w:ascii="Minion Pro" w:hAnsi="Minion Pro" w:cs="Times New Roman"/>
          <w:sz w:val="28"/>
          <w:szCs w:val="28"/>
          <w:lang w:val="uk-UA"/>
        </w:rPr>
        <w:t xml:space="preserve">По-перше, якщо </w:t>
      </w:r>
      <w:r w:rsidR="00827BB0">
        <w:rPr>
          <w:rFonts w:ascii="Minion Pro" w:hAnsi="Minion Pro" w:cs="Times New Roman"/>
          <w:sz w:val="28"/>
          <w:szCs w:val="28"/>
          <w:lang w:val="uk-UA"/>
        </w:rPr>
        <w:t>жоден майданчик не має</w:t>
      </w:r>
      <w:r w:rsidRPr="0088141A">
        <w:rPr>
          <w:rFonts w:ascii="Minion Pro" w:hAnsi="Minion Pro" w:cs="Times New Roman"/>
          <w:sz w:val="28"/>
          <w:szCs w:val="28"/>
          <w:lang w:val="uk-UA"/>
        </w:rPr>
        <w:t xml:space="preserve"> матеріальн</w:t>
      </w:r>
      <w:r w:rsidR="00827BB0">
        <w:rPr>
          <w:rFonts w:ascii="Minion Pro" w:hAnsi="Minion Pro" w:cs="Times New Roman"/>
          <w:sz w:val="28"/>
          <w:szCs w:val="28"/>
          <w:lang w:val="uk-UA"/>
        </w:rPr>
        <w:t xml:space="preserve">ої </w:t>
      </w:r>
      <w:r w:rsidRPr="0088141A">
        <w:rPr>
          <w:rFonts w:ascii="Minion Pro" w:hAnsi="Minion Pro" w:cs="Times New Roman"/>
          <w:sz w:val="28"/>
          <w:szCs w:val="28"/>
          <w:lang w:val="uk-UA"/>
        </w:rPr>
        <w:t>баз</w:t>
      </w:r>
      <w:r w:rsidR="00827BB0">
        <w:rPr>
          <w:rFonts w:ascii="Minion Pro" w:hAnsi="Minion Pro" w:cs="Times New Roman"/>
          <w:sz w:val="28"/>
          <w:szCs w:val="28"/>
          <w:lang w:val="uk-UA"/>
        </w:rPr>
        <w:t>и</w:t>
      </w:r>
      <w:r w:rsidRPr="0088141A">
        <w:rPr>
          <w:rFonts w:ascii="Minion Pro" w:hAnsi="Minion Pro" w:cs="Times New Roman"/>
          <w:sz w:val="28"/>
          <w:szCs w:val="28"/>
          <w:lang w:val="uk-UA"/>
        </w:rPr>
        <w:t xml:space="preserve"> для транспортування, зберігання, реалізації, АРМА проводить тендер на кожен вид роботи окремо в межах суми, що передбачена відповідною постановою. Адже більшість майданчиків не мають у власності, чи оренді приміщення для зберігання різних видів товарів. </w:t>
      </w:r>
      <w:r w:rsidR="00C12429">
        <w:rPr>
          <w:rFonts w:ascii="Minion Pro" w:hAnsi="Minion Pro" w:cs="Times New Roman"/>
          <w:sz w:val="28"/>
          <w:szCs w:val="28"/>
          <w:lang w:val="uk-UA"/>
        </w:rPr>
        <w:t>Такий підхід дозволить збільшити кількість платформ</w:t>
      </w:r>
      <w:r w:rsidR="003231D3" w:rsidRPr="00D14193">
        <w:rPr>
          <w:rFonts w:ascii="Minion Pro" w:hAnsi="Minion Pro" w:cs="Times New Roman"/>
          <w:sz w:val="28"/>
          <w:szCs w:val="28"/>
          <w:lang w:val="uk-UA"/>
        </w:rPr>
        <w:t>-</w:t>
      </w:r>
      <w:r w:rsidR="003231D3">
        <w:rPr>
          <w:rFonts w:ascii="Minion Pro" w:hAnsi="Minion Pro" w:cs="Times New Roman"/>
          <w:sz w:val="28"/>
          <w:szCs w:val="28"/>
          <w:lang w:val="uk-UA"/>
        </w:rPr>
        <w:t>продавців</w:t>
      </w:r>
      <w:r w:rsidR="009E4596">
        <w:rPr>
          <w:rFonts w:ascii="Minion Pro" w:hAnsi="Minion Pro" w:cs="Times New Roman"/>
          <w:sz w:val="28"/>
          <w:szCs w:val="28"/>
          <w:lang w:val="uk-UA"/>
        </w:rPr>
        <w:t>,</w:t>
      </w:r>
      <w:r w:rsidR="00C12429">
        <w:rPr>
          <w:rFonts w:ascii="Minion Pro" w:hAnsi="Minion Pro" w:cs="Times New Roman"/>
          <w:sz w:val="28"/>
          <w:szCs w:val="28"/>
          <w:lang w:val="uk-UA"/>
        </w:rPr>
        <w:t xml:space="preserve"> </w:t>
      </w:r>
      <w:r w:rsidR="003231D3">
        <w:rPr>
          <w:rFonts w:ascii="Minion Pro" w:hAnsi="Minion Pro" w:cs="Times New Roman"/>
          <w:sz w:val="28"/>
          <w:szCs w:val="28"/>
          <w:lang w:val="uk-UA"/>
        </w:rPr>
        <w:t>які</w:t>
      </w:r>
      <w:r w:rsidR="00C12429">
        <w:rPr>
          <w:rFonts w:ascii="Minion Pro" w:hAnsi="Minion Pro" w:cs="Times New Roman"/>
          <w:sz w:val="28"/>
          <w:szCs w:val="28"/>
          <w:lang w:val="uk-UA"/>
        </w:rPr>
        <w:t xml:space="preserve"> реаліз</w:t>
      </w:r>
      <w:r w:rsidR="003231D3">
        <w:rPr>
          <w:rFonts w:ascii="Minion Pro" w:hAnsi="Minion Pro" w:cs="Times New Roman"/>
          <w:sz w:val="28"/>
          <w:szCs w:val="28"/>
          <w:lang w:val="uk-UA"/>
        </w:rPr>
        <w:t>ують</w:t>
      </w:r>
      <w:r w:rsidR="00C12429">
        <w:rPr>
          <w:rFonts w:ascii="Minion Pro" w:hAnsi="Minion Pro" w:cs="Times New Roman"/>
          <w:sz w:val="28"/>
          <w:szCs w:val="28"/>
          <w:lang w:val="uk-UA"/>
        </w:rPr>
        <w:t xml:space="preserve"> актив, і</w:t>
      </w:r>
      <w:r w:rsidR="009E4596">
        <w:rPr>
          <w:rFonts w:ascii="Minion Pro" w:hAnsi="Minion Pro" w:cs="Times New Roman"/>
          <w:sz w:val="28"/>
          <w:szCs w:val="28"/>
          <w:lang w:val="uk-UA"/>
        </w:rPr>
        <w:t>,</w:t>
      </w:r>
      <w:r w:rsidR="00C12429">
        <w:rPr>
          <w:rFonts w:ascii="Minion Pro" w:hAnsi="Minion Pro" w:cs="Times New Roman"/>
          <w:sz w:val="28"/>
          <w:szCs w:val="28"/>
          <w:lang w:val="uk-UA"/>
        </w:rPr>
        <w:t xml:space="preserve"> як наслідок, </w:t>
      </w:r>
      <w:r w:rsidR="00C12429" w:rsidRPr="0088141A">
        <w:rPr>
          <w:rFonts w:ascii="Minion Pro" w:hAnsi="Minion Pro" w:cs="Times New Roman"/>
          <w:sz w:val="28"/>
          <w:szCs w:val="28"/>
          <w:lang w:val="uk-UA"/>
        </w:rPr>
        <w:t xml:space="preserve">збільшить обсяги продажів та створить чесну конкуренцію. </w:t>
      </w:r>
      <w:r w:rsidRPr="0088141A">
        <w:rPr>
          <w:rFonts w:ascii="Minion Pro" w:hAnsi="Minion Pro" w:cs="Times New Roman"/>
          <w:sz w:val="28"/>
          <w:szCs w:val="28"/>
          <w:lang w:val="uk-UA"/>
        </w:rPr>
        <w:t xml:space="preserve">Наразі цю вимогу може виконати тільки ДП "Сетам". </w:t>
      </w:r>
    </w:p>
    <w:p w14:paraId="6A9B8F5D" w14:textId="03588961" w:rsidR="0088141A" w:rsidRPr="0088141A" w:rsidRDefault="0088141A" w:rsidP="0088141A">
      <w:pPr>
        <w:spacing w:before="240" w:after="0" w:line="240" w:lineRule="auto"/>
        <w:jc w:val="both"/>
        <w:rPr>
          <w:rFonts w:ascii="Minion Pro" w:hAnsi="Minion Pro" w:cs="Times New Roman"/>
          <w:sz w:val="28"/>
          <w:szCs w:val="28"/>
          <w:lang w:val="uk-UA"/>
        </w:rPr>
      </w:pPr>
      <w:r w:rsidRPr="0088141A">
        <w:rPr>
          <w:rFonts w:ascii="Minion Pro" w:hAnsi="Minion Pro" w:cs="Times New Roman"/>
          <w:sz w:val="28"/>
          <w:szCs w:val="28"/>
          <w:lang w:val="uk-UA"/>
        </w:rPr>
        <w:t>По-друге, поступово знижувати ціну</w:t>
      </w:r>
      <w:r w:rsidR="001366CC">
        <w:rPr>
          <w:rFonts w:ascii="Minion Pro" w:hAnsi="Minion Pro" w:cs="Times New Roman"/>
          <w:sz w:val="28"/>
          <w:szCs w:val="28"/>
          <w:lang w:val="uk-UA"/>
        </w:rPr>
        <w:t xml:space="preserve"> активу</w:t>
      </w:r>
      <w:r w:rsidRPr="0088141A">
        <w:rPr>
          <w:rFonts w:ascii="Minion Pro" w:hAnsi="Minion Pro" w:cs="Times New Roman"/>
          <w:sz w:val="28"/>
          <w:szCs w:val="28"/>
          <w:lang w:val="uk-UA"/>
        </w:rPr>
        <w:t xml:space="preserve"> залежно від попиту. На перший аукціон актив має бути виставлений за ціною не нижче ринкової, </w:t>
      </w:r>
      <w:r w:rsidR="001366CC">
        <w:rPr>
          <w:rFonts w:ascii="Minion Pro" w:hAnsi="Minion Pro" w:cs="Times New Roman"/>
          <w:sz w:val="28"/>
          <w:szCs w:val="28"/>
          <w:lang w:val="uk-UA"/>
        </w:rPr>
        <w:t xml:space="preserve">а </w:t>
      </w:r>
      <w:r w:rsidRPr="0088141A">
        <w:rPr>
          <w:rFonts w:ascii="Minion Pro" w:hAnsi="Minion Pro" w:cs="Times New Roman"/>
          <w:sz w:val="28"/>
          <w:szCs w:val="28"/>
          <w:lang w:val="uk-UA"/>
        </w:rPr>
        <w:t xml:space="preserve">у разі відсутності попиту на наступні аукціони, його ціна має бути знижена за допомогою дієвої формули визначення ціни активу в залежності від усіх факторів, що впливають на нього (арешт, попит, стан тощо). </w:t>
      </w:r>
      <w:r w:rsidR="00D96CFF" w:rsidRPr="00D96CFF">
        <w:rPr>
          <w:rFonts w:ascii="Minion Pro" w:hAnsi="Minion Pro" w:cs="Times New Roman"/>
          <w:sz w:val="28"/>
          <w:szCs w:val="28"/>
          <w:lang w:val="uk-UA"/>
        </w:rPr>
        <w:lastRenderedPageBreak/>
        <w:t>Наразі через відсутність робочої формули оцінки активу більшість коштовного майна не продається взагалі</w:t>
      </w:r>
      <w:r w:rsidR="00D96CFF" w:rsidRPr="00D96CFF">
        <w:rPr>
          <w:rFonts w:ascii="Minion Pro" w:hAnsi="Minion Pro" w:cs="Times New Roman"/>
          <w:sz w:val="28"/>
          <w:szCs w:val="28"/>
          <w:lang w:val="ru-RU"/>
        </w:rPr>
        <w:t>.</w:t>
      </w:r>
      <w:r w:rsidRPr="0088141A">
        <w:rPr>
          <w:rFonts w:ascii="Minion Pro" w:hAnsi="Minion Pro" w:cs="Times New Roman"/>
          <w:sz w:val="28"/>
          <w:szCs w:val="28"/>
          <w:lang w:val="uk-UA"/>
        </w:rPr>
        <w:t xml:space="preserve"> </w:t>
      </w:r>
    </w:p>
    <w:p w14:paraId="4EB5BF3A" w14:textId="7AB3E601" w:rsidR="0088141A" w:rsidRPr="008670B5" w:rsidRDefault="00D247FF" w:rsidP="0088141A">
      <w:pPr>
        <w:spacing w:before="240" w:after="0" w:line="240" w:lineRule="auto"/>
        <w:jc w:val="both"/>
        <w:rPr>
          <w:rFonts w:ascii="Minion Pro" w:hAnsi="Minion Pro" w:cs="Times New Roman"/>
          <w:sz w:val="28"/>
          <w:szCs w:val="28"/>
          <w:lang w:val="uk-UA"/>
        </w:rPr>
      </w:pPr>
      <w:r>
        <w:rPr>
          <w:rFonts w:ascii="Minion Pro" w:hAnsi="Minion Pro" w:cs="Times New Roman"/>
          <w:sz w:val="28"/>
          <w:szCs w:val="28"/>
          <w:lang w:val="uk-UA"/>
        </w:rPr>
        <w:t>По-третє,</w:t>
      </w:r>
      <w:r w:rsidR="0088141A" w:rsidRPr="0088141A">
        <w:rPr>
          <w:rFonts w:ascii="Minion Pro" w:hAnsi="Minion Pro" w:cs="Times New Roman"/>
          <w:sz w:val="28"/>
          <w:szCs w:val="28"/>
          <w:lang w:val="uk-UA"/>
        </w:rPr>
        <w:t xml:space="preserve"> додати норми, які б гарантували безперешкодний доступ оцінювача до активу.  Можливість перевірити реальну вартість активу забезпечить збільшення попиту.</w:t>
      </w:r>
    </w:p>
    <w:p w14:paraId="1F9AFF6E" w14:textId="77777777" w:rsidR="00C9067E" w:rsidRPr="008670B5" w:rsidRDefault="00C9067E" w:rsidP="00B16CCC">
      <w:pPr>
        <w:spacing w:after="0" w:line="240" w:lineRule="auto"/>
        <w:jc w:val="both"/>
        <w:rPr>
          <w:rFonts w:ascii="Minion Pro" w:hAnsi="Minion Pro"/>
          <w:sz w:val="28"/>
          <w:szCs w:val="28"/>
          <w:lang w:val="uk-UA"/>
        </w:rPr>
      </w:pPr>
    </w:p>
    <w:p w14:paraId="1845D49D" w14:textId="77777777" w:rsidR="00B16CCC" w:rsidRPr="008670B5" w:rsidRDefault="00B16CCC" w:rsidP="00B16CCC">
      <w:pPr>
        <w:spacing w:after="0" w:line="240" w:lineRule="auto"/>
        <w:jc w:val="both"/>
        <w:rPr>
          <w:rFonts w:ascii="Minion Pro" w:hAnsi="Minion Pro" w:cs="Times New Roman"/>
          <w:b/>
          <w:sz w:val="28"/>
          <w:szCs w:val="28"/>
          <w:lang w:val="uk-UA"/>
        </w:rPr>
      </w:pPr>
      <w:r w:rsidRPr="008670B5">
        <w:rPr>
          <w:rFonts w:ascii="Minion Pro" w:hAnsi="Minion Pro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D0561" wp14:editId="368444DD">
                <wp:simplePos x="0" y="0"/>
                <wp:positionH relativeFrom="column">
                  <wp:posOffset>18415</wp:posOffset>
                </wp:positionH>
                <wp:positionV relativeFrom="paragraph">
                  <wp:posOffset>55880</wp:posOffset>
                </wp:positionV>
                <wp:extent cx="6000750" cy="6350"/>
                <wp:effectExtent l="0" t="0" r="19050" b="317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7E72616"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4.4pt" to="473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</w:p>
    <w:p w14:paraId="49FA409C" w14:textId="5C9A70B0" w:rsidR="00B16CCC" w:rsidRPr="008670B5" w:rsidRDefault="00B16CCC" w:rsidP="00B16CCC">
      <w:pPr>
        <w:shd w:val="clear" w:color="auto" w:fill="FFFFFF"/>
        <w:rPr>
          <w:rStyle w:val="a3"/>
          <w:rFonts w:ascii="Minion Pro" w:hAnsi="Minion Pro" w:cs="Helvetica"/>
          <w:i/>
          <w:sz w:val="28"/>
          <w:szCs w:val="28"/>
          <w:lang w:val="uk-UA"/>
        </w:rPr>
      </w:pPr>
      <w:r w:rsidRPr="008670B5">
        <w:rPr>
          <w:rFonts w:ascii="Minion Pro" w:hAnsi="Minion Pro" w:cs="Arial"/>
          <w:i/>
          <w:color w:val="000000"/>
          <w:sz w:val="28"/>
          <w:szCs w:val="28"/>
        </w:rPr>
        <w:t>Transparency</w:t>
      </w:r>
      <w:r w:rsidRPr="008670B5">
        <w:rPr>
          <w:rFonts w:ascii="Minion Pro" w:hAnsi="Minion Pro" w:cs="Arial"/>
          <w:i/>
          <w:color w:val="000000"/>
          <w:sz w:val="28"/>
          <w:szCs w:val="28"/>
          <w:lang w:val="uk-UA"/>
        </w:rPr>
        <w:t xml:space="preserve"> </w:t>
      </w:r>
      <w:r w:rsidRPr="008670B5">
        <w:rPr>
          <w:rFonts w:ascii="Minion Pro" w:hAnsi="Minion Pro" w:cs="Arial"/>
          <w:i/>
          <w:color w:val="000000"/>
          <w:sz w:val="28"/>
          <w:szCs w:val="28"/>
        </w:rPr>
        <w:t>International</w:t>
      </w:r>
      <w:r w:rsidRPr="008670B5">
        <w:rPr>
          <w:rFonts w:ascii="Minion Pro" w:hAnsi="Minion Pro" w:cs="Arial"/>
          <w:i/>
          <w:color w:val="000000"/>
          <w:sz w:val="28"/>
          <w:szCs w:val="28"/>
          <w:lang w:val="uk-UA"/>
        </w:rPr>
        <w:t xml:space="preserve"> </w:t>
      </w:r>
      <w:r w:rsidR="005F382F">
        <w:rPr>
          <w:rFonts w:ascii="Minion Pro" w:hAnsi="Minion Pro" w:cs="Arial"/>
          <w:i/>
          <w:color w:val="000000"/>
          <w:sz w:val="28"/>
          <w:szCs w:val="28"/>
          <w:lang w:val="uk-UA"/>
        </w:rPr>
        <w:t>співпрацює з</w:t>
      </w:r>
      <w:r w:rsidRPr="008670B5">
        <w:rPr>
          <w:rFonts w:ascii="Minion Pro" w:hAnsi="Minion Pro" w:cs="Arial"/>
          <w:i/>
          <w:color w:val="000000"/>
          <w:sz w:val="28"/>
          <w:szCs w:val="28"/>
          <w:lang w:val="uk-UA"/>
        </w:rPr>
        <w:t xml:space="preserve"> Національн</w:t>
      </w:r>
      <w:r w:rsidR="005F382F">
        <w:rPr>
          <w:rFonts w:ascii="Minion Pro" w:hAnsi="Minion Pro" w:cs="Arial"/>
          <w:i/>
          <w:color w:val="000000"/>
          <w:sz w:val="28"/>
          <w:szCs w:val="28"/>
          <w:lang w:val="uk-UA"/>
        </w:rPr>
        <w:t>им агентством</w:t>
      </w:r>
      <w:r w:rsidRPr="008670B5">
        <w:rPr>
          <w:rFonts w:ascii="Minion Pro" w:hAnsi="Minion Pro" w:cs="Arial"/>
          <w:i/>
          <w:color w:val="000000"/>
          <w:sz w:val="28"/>
          <w:szCs w:val="28"/>
          <w:lang w:val="uk-UA"/>
        </w:rPr>
        <w:t xml:space="preserve"> в рамках проекту «Підвищення ролі громадянського суспільства в нагляді за державними фінансами», що фінансується </w:t>
      </w:r>
      <w:r w:rsidRPr="008670B5">
        <w:rPr>
          <w:rFonts w:ascii="Minion Pro" w:hAnsi="Minion Pro" w:cs="Arial"/>
          <w:b/>
          <w:i/>
          <w:color w:val="000000"/>
          <w:sz w:val="28"/>
          <w:szCs w:val="28"/>
          <w:lang w:val="uk-UA"/>
        </w:rPr>
        <w:t>Європейським Союзом.</w:t>
      </w:r>
      <w:r w:rsidRPr="008670B5">
        <w:rPr>
          <w:rFonts w:ascii="Minion Pro" w:hAnsi="Minion Pro" w:cs="Arial"/>
          <w:i/>
          <w:color w:val="000000"/>
          <w:sz w:val="28"/>
          <w:szCs w:val="28"/>
          <w:lang w:val="uk-UA"/>
        </w:rPr>
        <w:t xml:space="preserve"> Проект має на меті надати громадянському суспільству та журналістам ефективні інструменти для боротьби з корупцією, відмиванням грошей і поверненням активів для здійснення громадського нагляду за фінансами та підтримки запуску Агентства з розшуку та менеджменту активів (АРМА), а також для оновлення реєстру політично значущих осіб. Більше інформації за посиланням: </w:t>
      </w:r>
      <w:hyperlink r:id="rId7" w:tgtFrame="_blank" w:history="1">
        <w:r w:rsidRPr="008670B5">
          <w:rPr>
            <w:rStyle w:val="a3"/>
            <w:rFonts w:ascii="Minion Pro" w:hAnsi="Minion Pro" w:cs="Helvetica"/>
            <w:i/>
            <w:sz w:val="28"/>
            <w:szCs w:val="28"/>
            <w:lang w:val="uk-UA"/>
          </w:rPr>
          <w:t>https://goo.gl/SncnHJ</w:t>
        </w:r>
      </w:hyperlink>
    </w:p>
    <w:p w14:paraId="208D75A5" w14:textId="77777777" w:rsidR="00ED1A12" w:rsidRPr="008670B5" w:rsidRDefault="00ED1A12" w:rsidP="00ED1A12">
      <w:pPr>
        <w:spacing w:line="240" w:lineRule="auto"/>
        <w:jc w:val="right"/>
        <w:rPr>
          <w:rFonts w:ascii="Minion Pro" w:hAnsi="Minion Pro" w:cs="Times New Roman"/>
          <w:b/>
          <w:i/>
          <w:sz w:val="28"/>
          <w:szCs w:val="28"/>
          <w:lang w:val="uk-UA"/>
        </w:rPr>
      </w:pPr>
    </w:p>
    <w:p w14:paraId="6DE6EDAA" w14:textId="77777777" w:rsidR="00ED1A12" w:rsidRPr="008670B5" w:rsidRDefault="00ED1A12" w:rsidP="00ED1A12">
      <w:pPr>
        <w:spacing w:line="240" w:lineRule="auto"/>
        <w:jc w:val="right"/>
        <w:rPr>
          <w:rFonts w:ascii="Minion Pro" w:hAnsi="Minion Pro" w:cs="Times New Roman"/>
          <w:b/>
          <w:i/>
          <w:sz w:val="28"/>
          <w:szCs w:val="28"/>
          <w:lang w:val="uk-UA"/>
        </w:rPr>
      </w:pPr>
      <w:r w:rsidRPr="008670B5">
        <w:rPr>
          <w:rFonts w:ascii="Minion Pro" w:hAnsi="Minion Pro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B5297F9" wp14:editId="7A9CDC15">
            <wp:simplePos x="0" y="0"/>
            <wp:positionH relativeFrom="margin">
              <wp:posOffset>5857240</wp:posOffset>
            </wp:positionH>
            <wp:positionV relativeFrom="paragraph">
              <wp:posOffset>8255</wp:posOffset>
            </wp:positionV>
            <wp:extent cx="941705" cy="628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yellow_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0B5">
        <w:rPr>
          <w:rFonts w:ascii="Minion Pro" w:hAnsi="Minion Pro" w:cs="Arial"/>
          <w:sz w:val="28"/>
          <w:szCs w:val="28"/>
        </w:rPr>
        <w:t>This project is funded by</w:t>
      </w:r>
    </w:p>
    <w:p w14:paraId="4F3891D6" w14:textId="77777777" w:rsidR="00ED1A12" w:rsidRPr="008670B5" w:rsidRDefault="00ED1A12" w:rsidP="00ED1A12">
      <w:pPr>
        <w:spacing w:after="0"/>
        <w:jc w:val="right"/>
        <w:rPr>
          <w:rFonts w:ascii="Minion Pro" w:hAnsi="Minion Pro" w:cs="Arial"/>
          <w:sz w:val="28"/>
          <w:szCs w:val="28"/>
        </w:rPr>
      </w:pPr>
      <w:r w:rsidRPr="008670B5">
        <w:rPr>
          <w:rFonts w:ascii="Minion Pro" w:hAnsi="Minion Pro" w:cs="Arial"/>
          <w:sz w:val="28"/>
          <w:szCs w:val="28"/>
        </w:rPr>
        <w:t>The European Union</w:t>
      </w:r>
    </w:p>
    <w:p w14:paraId="483F9AFB" w14:textId="77777777" w:rsidR="00ED1A12" w:rsidRPr="008670B5" w:rsidRDefault="00ED1A12" w:rsidP="00B16CCC">
      <w:pPr>
        <w:shd w:val="clear" w:color="auto" w:fill="FFFFFF"/>
        <w:rPr>
          <w:rStyle w:val="a3"/>
          <w:rFonts w:ascii="Minion Pro" w:hAnsi="Minion Pro" w:cs="Helvetica"/>
          <w:i/>
          <w:sz w:val="28"/>
          <w:szCs w:val="28"/>
        </w:rPr>
      </w:pPr>
    </w:p>
    <w:p w14:paraId="4B2959A9" w14:textId="77777777" w:rsidR="00ED1A12" w:rsidRPr="008670B5" w:rsidRDefault="00ED1A12" w:rsidP="00B16CCC">
      <w:pPr>
        <w:shd w:val="clear" w:color="auto" w:fill="FFFFFF"/>
        <w:rPr>
          <w:rStyle w:val="a3"/>
          <w:rFonts w:ascii="Minion Pro" w:hAnsi="Minion Pro" w:cs="Helvetica"/>
          <w:i/>
          <w:sz w:val="28"/>
          <w:szCs w:val="28"/>
        </w:rPr>
      </w:pPr>
    </w:p>
    <w:p w14:paraId="0C61975E" w14:textId="77777777" w:rsidR="00B16CCC" w:rsidRPr="008670B5" w:rsidRDefault="00B16CCC" w:rsidP="00B16CCC">
      <w:pPr>
        <w:shd w:val="clear" w:color="auto" w:fill="FFFFFF"/>
        <w:rPr>
          <w:rStyle w:val="a3"/>
          <w:rFonts w:ascii="Minion Pro" w:hAnsi="Minion Pro" w:cs="Helvetica"/>
          <w:sz w:val="28"/>
          <w:szCs w:val="28"/>
          <w:lang w:val="uk-UA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B16CCC" w:rsidRPr="008670B5" w14:paraId="29312BAA" w14:textId="77777777" w:rsidTr="003A0D00">
        <w:trPr>
          <w:trHeight w:val="1632"/>
        </w:trPr>
        <w:tc>
          <w:tcPr>
            <w:tcW w:w="4395" w:type="dxa"/>
            <w:shd w:val="clear" w:color="auto" w:fill="auto"/>
          </w:tcPr>
          <w:p w14:paraId="16F8A500" w14:textId="77777777" w:rsidR="00B16CCC" w:rsidRPr="008670B5" w:rsidRDefault="00B16CCC" w:rsidP="003A0D00">
            <w:pPr>
              <w:spacing w:after="0" w:line="240" w:lineRule="auto"/>
              <w:rPr>
                <w:rStyle w:val="a4"/>
                <w:rFonts w:ascii="Minion Pro" w:hAnsi="Minion Pro" w:cs="Times New Roman"/>
                <w:sz w:val="28"/>
                <w:szCs w:val="28"/>
                <w:lang w:val="uk-UA"/>
              </w:rPr>
            </w:pPr>
            <w:r w:rsidRPr="008670B5">
              <w:rPr>
                <w:rStyle w:val="a4"/>
                <w:rFonts w:ascii="Minion Pro" w:hAnsi="Minion Pro" w:cs="Times New Roman"/>
                <w:b/>
                <w:sz w:val="28"/>
                <w:szCs w:val="28"/>
                <w:shd w:val="clear" w:color="auto" w:fill="FCFCFC"/>
                <w:lang w:val="uk-UA"/>
              </w:rPr>
              <w:t>Контакт для медіа:</w:t>
            </w:r>
            <w:r w:rsidRPr="008670B5">
              <w:rPr>
                <w:rStyle w:val="a4"/>
                <w:rFonts w:ascii="Minion Pro" w:hAnsi="Minion Pro" w:cs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</w:p>
          <w:p w14:paraId="5BDEBF26" w14:textId="77777777" w:rsidR="00B16CCC" w:rsidRPr="008670B5" w:rsidRDefault="00B16CCC" w:rsidP="003A0D00">
            <w:pPr>
              <w:spacing w:after="0" w:line="240" w:lineRule="auto"/>
              <w:rPr>
                <w:rStyle w:val="a4"/>
                <w:rFonts w:ascii="Minion Pro" w:hAnsi="Minion Pro" w:cs="Times New Roman"/>
                <w:sz w:val="28"/>
                <w:szCs w:val="28"/>
                <w:shd w:val="clear" w:color="auto" w:fill="FCFCFC"/>
                <w:lang w:val="uk-UA"/>
              </w:rPr>
            </w:pPr>
            <w:r w:rsidRPr="008670B5">
              <w:rPr>
                <w:rStyle w:val="a4"/>
                <w:rFonts w:ascii="Minion Pro" w:hAnsi="Minion Pro" w:cs="Times New Roman"/>
                <w:sz w:val="28"/>
                <w:szCs w:val="28"/>
                <w:lang w:val="uk-UA"/>
              </w:rPr>
              <w:t xml:space="preserve">Олександра Комісарова, комунікаційний менеджер </w:t>
            </w:r>
            <w:proofErr w:type="spellStart"/>
            <w:r w:rsidRPr="008670B5">
              <w:rPr>
                <w:rStyle w:val="a4"/>
                <w:rFonts w:ascii="Minion Pro" w:hAnsi="Minion Pro" w:cs="Times New Roman"/>
                <w:sz w:val="28"/>
                <w:szCs w:val="28"/>
                <w:shd w:val="clear" w:color="auto" w:fill="FCFCFC"/>
                <w:lang w:val="uk-UA"/>
              </w:rPr>
              <w:t>Transparency</w:t>
            </w:r>
            <w:proofErr w:type="spellEnd"/>
            <w:r w:rsidRPr="008670B5">
              <w:rPr>
                <w:rStyle w:val="a4"/>
                <w:rFonts w:ascii="Minion Pro" w:hAnsi="Minion Pro" w:cs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8670B5">
              <w:rPr>
                <w:rStyle w:val="a4"/>
                <w:rFonts w:ascii="Minion Pro" w:hAnsi="Minion Pro" w:cs="Times New Roman"/>
                <w:sz w:val="28"/>
                <w:szCs w:val="28"/>
                <w:shd w:val="clear" w:color="auto" w:fill="FCFCFC"/>
                <w:lang w:val="uk-UA"/>
              </w:rPr>
              <w:t>International</w:t>
            </w:r>
            <w:proofErr w:type="spellEnd"/>
            <w:r w:rsidRPr="008670B5">
              <w:rPr>
                <w:rStyle w:val="a4"/>
                <w:rFonts w:ascii="Minion Pro" w:hAnsi="Minion Pro" w:cs="Times New Roman"/>
                <w:sz w:val="28"/>
                <w:szCs w:val="28"/>
                <w:shd w:val="clear" w:color="auto" w:fill="FCFCFC"/>
                <w:lang w:val="uk-UA"/>
              </w:rPr>
              <w:t xml:space="preserve"> Україна</w:t>
            </w:r>
          </w:p>
          <w:p w14:paraId="0B57FFF5" w14:textId="77777777" w:rsidR="00B16CCC" w:rsidRPr="008670B5" w:rsidRDefault="00B16CCC" w:rsidP="003A0D00">
            <w:pPr>
              <w:spacing w:after="0" w:line="240" w:lineRule="auto"/>
              <w:rPr>
                <w:rFonts w:ascii="Minion Pro" w:hAnsi="Minion Pro" w:cs="Times New Roman"/>
                <w:i/>
                <w:sz w:val="28"/>
                <w:szCs w:val="28"/>
                <w:shd w:val="clear" w:color="auto" w:fill="FCFCFC"/>
                <w:lang w:val="uk-UA"/>
              </w:rPr>
            </w:pPr>
            <w:proofErr w:type="spellStart"/>
            <w:r w:rsidRPr="008670B5">
              <w:rPr>
                <w:rFonts w:ascii="Minion Pro" w:hAnsi="Minion Pro" w:cs="Times New Roman"/>
                <w:i/>
                <w:sz w:val="28"/>
                <w:szCs w:val="28"/>
                <w:shd w:val="clear" w:color="auto" w:fill="FCFCFC"/>
                <w:lang w:val="uk-UA"/>
              </w:rPr>
              <w:t>м.т</w:t>
            </w:r>
            <w:proofErr w:type="spellEnd"/>
            <w:r w:rsidRPr="008670B5">
              <w:rPr>
                <w:rFonts w:ascii="Minion Pro" w:hAnsi="Minion Pro" w:cs="Times New Roman"/>
                <w:i/>
                <w:sz w:val="28"/>
                <w:szCs w:val="28"/>
                <w:shd w:val="clear" w:color="auto" w:fill="FCFCFC"/>
                <w:lang w:val="uk-UA"/>
              </w:rPr>
              <w:t>. 098 530 12 42</w:t>
            </w:r>
          </w:p>
          <w:p w14:paraId="4A0303BD" w14:textId="77777777" w:rsidR="00B16CCC" w:rsidRPr="008670B5" w:rsidRDefault="00B16CCC" w:rsidP="003A0D00">
            <w:pPr>
              <w:spacing w:after="0" w:line="240" w:lineRule="auto"/>
              <w:rPr>
                <w:rFonts w:ascii="Minion Pro" w:hAnsi="Minion Pro" w:cs="Times New Roman"/>
                <w:sz w:val="28"/>
                <w:szCs w:val="28"/>
                <w:shd w:val="clear" w:color="auto" w:fill="FCFCFC"/>
                <w:lang w:val="it-IT"/>
              </w:rPr>
            </w:pPr>
            <w:r w:rsidRPr="008670B5">
              <w:rPr>
                <w:rFonts w:ascii="Minion Pro" w:hAnsi="Minion Pro" w:cs="Times New Roman"/>
                <w:i/>
                <w:sz w:val="28"/>
                <w:szCs w:val="28"/>
                <w:shd w:val="clear" w:color="auto" w:fill="FCFCFC"/>
                <w:lang w:val="it-IT"/>
              </w:rPr>
              <w:t xml:space="preserve">e-mail </w:t>
            </w:r>
            <w:r w:rsidRPr="008670B5">
              <w:rPr>
                <w:rFonts w:ascii="Minion Pro" w:hAnsi="Minion Pro" w:cs="Times New Roman"/>
                <w:i/>
                <w:sz w:val="28"/>
                <w:szCs w:val="28"/>
                <w:lang w:val="it-IT"/>
              </w:rPr>
              <w:t>komisarova@ti-ukraine.org</w:t>
            </w:r>
          </w:p>
        </w:tc>
        <w:tc>
          <w:tcPr>
            <w:tcW w:w="5244" w:type="dxa"/>
            <w:shd w:val="clear" w:color="auto" w:fill="auto"/>
          </w:tcPr>
          <w:p w14:paraId="70B34A2A" w14:textId="77777777" w:rsidR="00B16CCC" w:rsidRPr="008670B5" w:rsidRDefault="00B16CCC" w:rsidP="003A0D00">
            <w:pPr>
              <w:spacing w:after="0" w:line="240" w:lineRule="auto"/>
              <w:rPr>
                <w:rFonts w:ascii="Minion Pro" w:hAnsi="Minion Pro" w:cs="Times New Roman"/>
                <w:sz w:val="28"/>
                <w:szCs w:val="28"/>
                <w:lang w:val="uk-UA"/>
              </w:rPr>
            </w:pPr>
            <w:proofErr w:type="spellStart"/>
            <w:r w:rsidRPr="008670B5">
              <w:rPr>
                <w:rStyle w:val="a4"/>
                <w:rFonts w:ascii="Minion Pro" w:hAnsi="Minion Pro" w:cs="Times New Roman"/>
                <w:b/>
                <w:sz w:val="28"/>
                <w:szCs w:val="28"/>
                <w:shd w:val="clear" w:color="auto" w:fill="FCFCFC"/>
                <w:lang w:val="uk-UA"/>
              </w:rPr>
              <w:t>Transparency</w:t>
            </w:r>
            <w:proofErr w:type="spellEnd"/>
            <w:r w:rsidRPr="008670B5">
              <w:rPr>
                <w:rStyle w:val="a4"/>
                <w:rFonts w:ascii="Minion Pro" w:hAnsi="Minion Pro" w:cs="Times New Roman"/>
                <w:b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8670B5">
              <w:rPr>
                <w:rStyle w:val="a4"/>
                <w:rFonts w:ascii="Minion Pro" w:hAnsi="Minion Pro" w:cs="Times New Roman"/>
                <w:b/>
                <w:sz w:val="28"/>
                <w:szCs w:val="28"/>
                <w:shd w:val="clear" w:color="auto" w:fill="FCFCFC"/>
                <w:lang w:val="uk-UA"/>
              </w:rPr>
              <w:t>International</w:t>
            </w:r>
            <w:proofErr w:type="spellEnd"/>
            <w:r w:rsidRPr="008670B5">
              <w:rPr>
                <w:rStyle w:val="a4"/>
                <w:rFonts w:ascii="Minion Pro" w:hAnsi="Minion Pro" w:cs="Times New Roman"/>
                <w:b/>
                <w:sz w:val="28"/>
                <w:szCs w:val="28"/>
                <w:shd w:val="clear" w:color="auto" w:fill="FCFCFC"/>
                <w:lang w:val="uk-UA"/>
              </w:rPr>
              <w:t xml:space="preserve"> Україна</w:t>
            </w:r>
            <w:r w:rsidRPr="008670B5">
              <w:rPr>
                <w:rStyle w:val="a4"/>
                <w:rFonts w:ascii="Minion Pro" w:hAnsi="Minion Pro" w:cs="Times New Roman"/>
                <w:sz w:val="28"/>
                <w:szCs w:val="28"/>
                <w:shd w:val="clear" w:color="auto" w:fill="FCFCFC"/>
                <w:lang w:val="uk-UA"/>
              </w:rPr>
              <w:t xml:space="preserve"> є представництвом глобальної антикорупційної мережі  </w:t>
            </w:r>
            <w:proofErr w:type="spellStart"/>
            <w:r w:rsidRPr="008670B5">
              <w:rPr>
                <w:rStyle w:val="a4"/>
                <w:rFonts w:ascii="Minion Pro" w:hAnsi="Minion Pro" w:cs="Times New Roman"/>
                <w:sz w:val="28"/>
                <w:szCs w:val="28"/>
                <w:shd w:val="clear" w:color="auto" w:fill="FCFCFC"/>
                <w:lang w:val="uk-UA"/>
              </w:rPr>
              <w:t>Transparency</w:t>
            </w:r>
            <w:proofErr w:type="spellEnd"/>
            <w:r w:rsidRPr="008670B5">
              <w:rPr>
                <w:rStyle w:val="a4"/>
                <w:rFonts w:ascii="Minion Pro" w:hAnsi="Minion Pro" w:cs="Times New Roman"/>
                <w:sz w:val="28"/>
                <w:szCs w:val="2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8670B5">
              <w:rPr>
                <w:rStyle w:val="a4"/>
                <w:rFonts w:ascii="Minion Pro" w:hAnsi="Minion Pro" w:cs="Times New Roman"/>
                <w:sz w:val="28"/>
                <w:szCs w:val="28"/>
                <w:shd w:val="clear" w:color="auto" w:fill="FCFCFC"/>
                <w:lang w:val="uk-UA"/>
              </w:rPr>
              <w:t>International</w:t>
            </w:r>
            <w:proofErr w:type="spellEnd"/>
            <w:r w:rsidRPr="008670B5">
              <w:rPr>
                <w:rStyle w:val="a4"/>
                <w:rFonts w:ascii="Minion Pro" w:hAnsi="Minion Pro" w:cs="Times New Roman"/>
                <w:sz w:val="28"/>
                <w:szCs w:val="28"/>
                <w:shd w:val="clear" w:color="auto" w:fill="FCFCFC"/>
                <w:lang w:val="uk-UA"/>
              </w:rPr>
              <w:t xml:space="preserve">, що працює більше як у 100 країнах світу. Місія ТІ Україна: </w:t>
            </w:r>
            <w:r w:rsidRPr="008670B5">
              <w:rPr>
                <w:rFonts w:ascii="Minion Pro" w:hAnsi="Minion Pro" w:cs="Times New Roman"/>
                <w:i/>
                <w:color w:val="1A1A1A"/>
                <w:sz w:val="28"/>
                <w:szCs w:val="28"/>
                <w:lang w:val="uk-UA"/>
              </w:rPr>
              <w:t xml:space="preserve">знизити рівень корупції в Україні шляхом сприяння прозорості, підзвітності та доброчесності публічної влади і громадянського суспільства. </w:t>
            </w:r>
            <w:r w:rsidRPr="008670B5">
              <w:rPr>
                <w:rStyle w:val="a4"/>
                <w:rFonts w:ascii="Minion Pro" w:hAnsi="Minion Pro" w:cs="Times New Roman"/>
                <w:sz w:val="28"/>
                <w:szCs w:val="28"/>
                <w:shd w:val="clear" w:color="auto" w:fill="FCFCFC"/>
                <w:lang w:val="uk-UA"/>
              </w:rPr>
              <w:t xml:space="preserve">Дізнатися більше  </w:t>
            </w:r>
            <w:hyperlink r:id="rId9" w:history="1">
              <w:r w:rsidRPr="008670B5">
                <w:rPr>
                  <w:rStyle w:val="a3"/>
                  <w:rFonts w:ascii="Minion Pro" w:hAnsi="Minion Pro"/>
                  <w:sz w:val="28"/>
                  <w:szCs w:val="28"/>
                  <w:shd w:val="clear" w:color="auto" w:fill="FCFCFC"/>
                  <w:lang w:val="uk-UA"/>
                </w:rPr>
                <w:t>www.ti-ukraine.org</w:t>
              </w:r>
            </w:hyperlink>
          </w:p>
        </w:tc>
      </w:tr>
    </w:tbl>
    <w:p w14:paraId="5E64DCB7" w14:textId="77777777" w:rsidR="00FD2250" w:rsidRPr="008670B5" w:rsidRDefault="00FD2250" w:rsidP="00E73867">
      <w:pPr>
        <w:rPr>
          <w:rFonts w:ascii="Minion Pro" w:hAnsi="Minion Pro"/>
          <w:sz w:val="28"/>
          <w:szCs w:val="28"/>
          <w:lang w:val="uk-UA"/>
        </w:rPr>
      </w:pPr>
    </w:p>
    <w:sectPr w:rsidR="00FD2250" w:rsidRPr="008670B5" w:rsidSect="00E7386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04439"/>
    <w:multiLevelType w:val="hybridMultilevel"/>
    <w:tmpl w:val="2ABE3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5878"/>
    <w:multiLevelType w:val="hybridMultilevel"/>
    <w:tmpl w:val="4904AAA8"/>
    <w:lvl w:ilvl="0" w:tplc="6E7E5CD8">
      <w:start w:val="2"/>
      <w:numFmt w:val="bullet"/>
      <w:lvlText w:val="-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50"/>
    <w:rsid w:val="0001553C"/>
    <w:rsid w:val="00047852"/>
    <w:rsid w:val="000547BC"/>
    <w:rsid w:val="0005651F"/>
    <w:rsid w:val="000A47B5"/>
    <w:rsid w:val="000D5E8A"/>
    <w:rsid w:val="000D7CD0"/>
    <w:rsid w:val="00123199"/>
    <w:rsid w:val="001366CC"/>
    <w:rsid w:val="00181A1B"/>
    <w:rsid w:val="001A4B8C"/>
    <w:rsid w:val="001A7965"/>
    <w:rsid w:val="001D3342"/>
    <w:rsid w:val="00216EDF"/>
    <w:rsid w:val="00225775"/>
    <w:rsid w:val="0022591A"/>
    <w:rsid w:val="00230E17"/>
    <w:rsid w:val="002855B9"/>
    <w:rsid w:val="002E666B"/>
    <w:rsid w:val="003231D3"/>
    <w:rsid w:val="00331955"/>
    <w:rsid w:val="003A2314"/>
    <w:rsid w:val="003D06FE"/>
    <w:rsid w:val="003E2151"/>
    <w:rsid w:val="004120DD"/>
    <w:rsid w:val="004229B8"/>
    <w:rsid w:val="004344A9"/>
    <w:rsid w:val="0047295D"/>
    <w:rsid w:val="00482709"/>
    <w:rsid w:val="004B4511"/>
    <w:rsid w:val="004F6926"/>
    <w:rsid w:val="00594A5F"/>
    <w:rsid w:val="005B0A5E"/>
    <w:rsid w:val="005D6F66"/>
    <w:rsid w:val="005F382F"/>
    <w:rsid w:val="006332AC"/>
    <w:rsid w:val="006F0EA5"/>
    <w:rsid w:val="00722219"/>
    <w:rsid w:val="00724F45"/>
    <w:rsid w:val="007A2ABE"/>
    <w:rsid w:val="00827BB0"/>
    <w:rsid w:val="008355EF"/>
    <w:rsid w:val="008670B5"/>
    <w:rsid w:val="0088141A"/>
    <w:rsid w:val="008B1C54"/>
    <w:rsid w:val="008E1187"/>
    <w:rsid w:val="00931FF7"/>
    <w:rsid w:val="00943F8C"/>
    <w:rsid w:val="00977740"/>
    <w:rsid w:val="00997C02"/>
    <w:rsid w:val="009C733E"/>
    <w:rsid w:val="009D0795"/>
    <w:rsid w:val="009E4596"/>
    <w:rsid w:val="00A73F66"/>
    <w:rsid w:val="00A81C6A"/>
    <w:rsid w:val="00A82723"/>
    <w:rsid w:val="00A965C6"/>
    <w:rsid w:val="00B16CCC"/>
    <w:rsid w:val="00B72D85"/>
    <w:rsid w:val="00BC6BFD"/>
    <w:rsid w:val="00BD09F6"/>
    <w:rsid w:val="00BD55BB"/>
    <w:rsid w:val="00C12429"/>
    <w:rsid w:val="00C9067E"/>
    <w:rsid w:val="00CD64DF"/>
    <w:rsid w:val="00D14193"/>
    <w:rsid w:val="00D247FF"/>
    <w:rsid w:val="00D46E7A"/>
    <w:rsid w:val="00D96CFF"/>
    <w:rsid w:val="00DA49DB"/>
    <w:rsid w:val="00DD277C"/>
    <w:rsid w:val="00DD4416"/>
    <w:rsid w:val="00E013D4"/>
    <w:rsid w:val="00E73867"/>
    <w:rsid w:val="00EC3A87"/>
    <w:rsid w:val="00ED1A12"/>
    <w:rsid w:val="00F07433"/>
    <w:rsid w:val="00F3772A"/>
    <w:rsid w:val="00F971BA"/>
    <w:rsid w:val="00FB3AE9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A8F0"/>
  <w15:chartTrackingRefBased/>
  <w15:docId w15:val="{307617F6-00E3-4C13-8389-17BA4B13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2250"/>
    <w:rPr>
      <w:color w:val="0000FF"/>
      <w:u w:val="single"/>
    </w:rPr>
  </w:style>
  <w:style w:type="character" w:styleId="a4">
    <w:name w:val="Emphasis"/>
    <w:uiPriority w:val="20"/>
    <w:qFormat/>
    <w:rsid w:val="00FD2250"/>
    <w:rPr>
      <w:i/>
      <w:iCs/>
    </w:rPr>
  </w:style>
  <w:style w:type="paragraph" w:styleId="a5">
    <w:name w:val="Normal (Web)"/>
    <w:basedOn w:val="a"/>
    <w:uiPriority w:val="99"/>
    <w:unhideWhenUsed/>
    <w:rsid w:val="003A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B45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9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2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229B8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42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goo.gl/SncnH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-ukraine.org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868B-FF49-4C21-97DC-67BC6F94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Argat (TI Ukraine)</dc:creator>
  <cp:keywords/>
  <dc:description/>
  <cp:lastModifiedBy>Пользователь Windows</cp:lastModifiedBy>
  <cp:revision>2</cp:revision>
  <cp:lastPrinted>2018-03-28T12:41:00Z</cp:lastPrinted>
  <dcterms:created xsi:type="dcterms:W3CDTF">2018-04-04T16:28:00Z</dcterms:created>
  <dcterms:modified xsi:type="dcterms:W3CDTF">2018-04-04T16:28:00Z</dcterms:modified>
</cp:coreProperties>
</file>