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AE" w:rsidRPr="001115C7" w:rsidRDefault="009E0AAC" w:rsidP="00F234FA">
      <w:pPr>
        <w:spacing w:after="0"/>
        <w:rPr>
          <w:rFonts w:ascii="Calibri" w:eastAsia="Calibri" w:hAnsi="Calibri" w:cs="Calibri"/>
          <w:lang w:val="uk-UA"/>
        </w:rPr>
      </w:pPr>
      <w:r w:rsidRPr="001115C7">
        <w:rPr>
          <w:rFonts w:ascii="Calibri" w:hAnsi="Calibri"/>
          <w:lang w:val="uk-UA"/>
        </w:rPr>
        <w:t>ПРЕС-РЕЛІЗ</w:t>
      </w:r>
    </w:p>
    <w:p w:rsidR="00EF6CFF" w:rsidRPr="001115C7" w:rsidRDefault="00A075CF" w:rsidP="00F234FA">
      <w:pPr>
        <w:spacing w:after="0"/>
        <w:rPr>
          <w:rFonts w:ascii="Calibri" w:hAnsi="Calibri"/>
          <w:lang w:val="uk-UA"/>
        </w:rPr>
      </w:pPr>
      <w:r w:rsidRPr="00A075CF">
        <w:rPr>
          <w:rFonts w:ascii="Calibri" w:hAnsi="Calibri"/>
        </w:rPr>
        <w:t>17.</w:t>
      </w:r>
      <w:r w:rsidR="00146CB8" w:rsidRPr="001115C7">
        <w:rPr>
          <w:rFonts w:ascii="Calibri" w:hAnsi="Calibri"/>
          <w:lang w:val="uk-UA"/>
        </w:rPr>
        <w:t>10</w:t>
      </w:r>
      <w:r w:rsidR="007915A1" w:rsidRPr="001115C7">
        <w:rPr>
          <w:rFonts w:ascii="Calibri" w:hAnsi="Calibri"/>
          <w:lang w:val="uk-UA"/>
        </w:rPr>
        <w:t>.</w:t>
      </w:r>
      <w:r w:rsidR="00513000" w:rsidRPr="001115C7">
        <w:rPr>
          <w:rFonts w:ascii="Calibri" w:hAnsi="Calibri"/>
          <w:lang w:val="uk-UA"/>
        </w:rPr>
        <w:t>2017</w:t>
      </w:r>
    </w:p>
    <w:p w:rsidR="00D34210" w:rsidRPr="001115C7" w:rsidRDefault="00D34210" w:rsidP="00F234FA">
      <w:pPr>
        <w:spacing w:after="0"/>
        <w:rPr>
          <w:rFonts w:ascii="Calibri" w:eastAsia="Calibri" w:hAnsi="Calibri" w:cs="Calibri"/>
          <w:lang w:val="uk-UA"/>
        </w:rPr>
      </w:pPr>
    </w:p>
    <w:p w:rsidR="00F957CF" w:rsidRDefault="00146CB8" w:rsidP="009D6844">
      <w:pPr>
        <w:spacing w:after="0"/>
        <w:ind w:firstLine="709"/>
        <w:contextualSpacing/>
        <w:jc w:val="center"/>
        <w:rPr>
          <w:rFonts w:ascii="Calibri" w:eastAsia="Calibri" w:hAnsi="Calibri" w:cs="Calibri"/>
          <w:b/>
          <w:lang w:val="uk-UA"/>
        </w:rPr>
      </w:pPr>
      <w:r w:rsidRPr="00865B1A">
        <w:rPr>
          <w:rFonts w:ascii="Calibri" w:eastAsia="Calibri" w:hAnsi="Calibri" w:cs="Calibri"/>
          <w:b/>
          <w:lang w:val="uk-UA"/>
        </w:rPr>
        <w:t xml:space="preserve">TI Україна </w:t>
      </w:r>
      <w:r w:rsidR="00A075CF" w:rsidRPr="00865B1A">
        <w:rPr>
          <w:rFonts w:ascii="Calibri" w:eastAsia="Calibri" w:hAnsi="Calibri" w:cs="Calibri"/>
          <w:b/>
          <w:lang w:val="uk-UA"/>
        </w:rPr>
        <w:t>оголошує конкурс з обрання члена Правління</w:t>
      </w:r>
    </w:p>
    <w:p w:rsidR="00865B1A" w:rsidRPr="00865B1A" w:rsidRDefault="00865B1A" w:rsidP="009D6844">
      <w:pPr>
        <w:spacing w:after="0"/>
        <w:ind w:firstLine="709"/>
        <w:contextualSpacing/>
        <w:jc w:val="center"/>
        <w:rPr>
          <w:rFonts w:ascii="Calibri" w:eastAsia="Calibri" w:hAnsi="Calibri" w:cs="Calibri"/>
          <w:b/>
          <w:lang w:val="uk-UA"/>
        </w:rPr>
      </w:pPr>
    </w:p>
    <w:p w:rsidR="00A075CF" w:rsidRPr="00955E57" w:rsidRDefault="00A075CF" w:rsidP="00A075CF">
      <w:pPr>
        <w:spacing w:after="0"/>
        <w:ind w:firstLine="709"/>
        <w:contextualSpacing/>
        <w:rPr>
          <w:rFonts w:ascii="Calibri" w:eastAsia="Calibri" w:hAnsi="Calibri" w:cs="Calibri"/>
          <w:i/>
          <w:sz w:val="24"/>
          <w:szCs w:val="24"/>
          <w:lang w:val="uk-UA"/>
        </w:rPr>
      </w:pPr>
      <w:r w:rsidRPr="00955E57">
        <w:rPr>
          <w:rFonts w:ascii="Calibri" w:eastAsia="Calibri" w:hAnsi="Calibri" w:cs="Calibri"/>
          <w:i/>
          <w:sz w:val="24"/>
          <w:szCs w:val="24"/>
          <w:lang w:val="uk-UA"/>
        </w:rPr>
        <w:t xml:space="preserve">Українське представництво міжнародної антикорупційної організації </w:t>
      </w:r>
      <w:r w:rsidRPr="00955E57">
        <w:rPr>
          <w:rFonts w:ascii="Calibri" w:eastAsia="Calibri" w:hAnsi="Calibri" w:cs="Calibri"/>
          <w:i/>
          <w:sz w:val="24"/>
          <w:szCs w:val="24"/>
          <w:lang w:val="en-US"/>
        </w:rPr>
        <w:t>Transparency</w:t>
      </w:r>
      <w:r w:rsidR="00955E57" w:rsidRPr="00955E57">
        <w:rPr>
          <w:rFonts w:ascii="Calibri" w:eastAsia="Calibri" w:hAnsi="Calibri" w:cs="Calibri"/>
          <w:i/>
          <w:sz w:val="24"/>
          <w:szCs w:val="24"/>
          <w:lang w:val="uk-UA"/>
        </w:rPr>
        <w:t xml:space="preserve"> </w:t>
      </w:r>
      <w:r w:rsidRPr="00955E57">
        <w:rPr>
          <w:rFonts w:ascii="Calibri" w:eastAsia="Calibri" w:hAnsi="Calibri" w:cs="Calibri"/>
          <w:i/>
          <w:sz w:val="24"/>
          <w:szCs w:val="24"/>
          <w:lang w:val="en-US"/>
        </w:rPr>
        <w:t>International</w:t>
      </w:r>
      <w:r w:rsidRPr="00955E57">
        <w:rPr>
          <w:rFonts w:ascii="Calibri" w:eastAsia="Calibri" w:hAnsi="Calibri" w:cs="Calibri"/>
          <w:i/>
          <w:sz w:val="24"/>
          <w:szCs w:val="24"/>
          <w:lang w:val="uk-UA"/>
        </w:rPr>
        <w:t xml:space="preserve"> оголошує відкритий конкурс з обрання члена Правління.</w:t>
      </w:r>
    </w:p>
    <w:p w:rsidR="00865B1A" w:rsidRPr="00955E57" w:rsidRDefault="00865B1A" w:rsidP="00A075CF">
      <w:pPr>
        <w:spacing w:after="0"/>
        <w:ind w:firstLine="709"/>
        <w:contextualSpacing/>
        <w:rPr>
          <w:rFonts w:ascii="Calibri" w:eastAsia="Calibri" w:hAnsi="Calibri" w:cs="Calibri"/>
          <w:i/>
          <w:sz w:val="24"/>
          <w:szCs w:val="24"/>
          <w:lang w:val="uk-UA"/>
        </w:rPr>
      </w:pPr>
    </w:p>
    <w:p w:rsidR="004C4312" w:rsidRPr="00955E57" w:rsidRDefault="00A25C3D" w:rsidP="00A075CF">
      <w:pPr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val="uk-UA"/>
        </w:rPr>
      </w:pPr>
      <w:r w:rsidRPr="00955E57">
        <w:rPr>
          <w:rFonts w:ascii="Calibri" w:eastAsia="Calibri" w:hAnsi="Calibri" w:cs="Calibri"/>
          <w:sz w:val="24"/>
          <w:szCs w:val="24"/>
          <w:lang w:val="uk-UA"/>
        </w:rPr>
        <w:t xml:space="preserve">Правління </w:t>
      </w:r>
      <w:r w:rsidRPr="00955E57">
        <w:rPr>
          <w:rFonts w:ascii="Calibri" w:eastAsia="Calibri" w:hAnsi="Calibri" w:cs="Calibri"/>
          <w:sz w:val="24"/>
          <w:szCs w:val="24"/>
          <w:lang w:val="en-US"/>
        </w:rPr>
        <w:t>Transparency</w:t>
      </w:r>
      <w:r w:rsidR="004C4312" w:rsidRPr="00955E57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955E57">
        <w:rPr>
          <w:rFonts w:ascii="Calibri" w:eastAsia="Calibri" w:hAnsi="Calibri" w:cs="Calibri"/>
          <w:sz w:val="24"/>
          <w:szCs w:val="24"/>
          <w:lang w:val="en-US"/>
        </w:rPr>
        <w:t>International</w:t>
      </w:r>
      <w:r w:rsidR="004C4312" w:rsidRPr="00955E57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955E57">
        <w:rPr>
          <w:rFonts w:ascii="Calibri" w:eastAsia="Calibri" w:hAnsi="Calibri" w:cs="Calibri"/>
          <w:sz w:val="24"/>
          <w:szCs w:val="24"/>
          <w:lang w:val="uk-UA"/>
        </w:rPr>
        <w:t xml:space="preserve"> Україна є керівним органом організації</w:t>
      </w:r>
      <w:r w:rsidR="004C4312" w:rsidRPr="00955E57">
        <w:rPr>
          <w:rFonts w:ascii="Calibri" w:eastAsia="Calibri" w:hAnsi="Calibri" w:cs="Calibri"/>
          <w:sz w:val="24"/>
          <w:szCs w:val="24"/>
          <w:lang w:val="uk-UA"/>
        </w:rPr>
        <w:t>,</w:t>
      </w:r>
      <w:r w:rsidRPr="00955E57">
        <w:rPr>
          <w:rFonts w:ascii="Calibri" w:eastAsia="Calibri" w:hAnsi="Calibri" w:cs="Calibri"/>
          <w:sz w:val="24"/>
          <w:szCs w:val="24"/>
          <w:lang w:val="uk-UA"/>
        </w:rPr>
        <w:t xml:space="preserve"> який обирається </w:t>
      </w:r>
      <w:r w:rsidR="008D52AA" w:rsidRPr="00955E57">
        <w:rPr>
          <w:rFonts w:ascii="Calibri" w:eastAsia="Calibri" w:hAnsi="Calibri" w:cs="Calibri"/>
          <w:sz w:val="24"/>
          <w:szCs w:val="24"/>
          <w:lang w:val="uk-UA"/>
        </w:rPr>
        <w:t xml:space="preserve">Конференцією членів ТІ Україна </w:t>
      </w:r>
      <w:r w:rsidRPr="00955E57">
        <w:rPr>
          <w:rFonts w:ascii="Calibri" w:eastAsia="Calibri" w:hAnsi="Calibri" w:cs="Calibri"/>
          <w:sz w:val="24"/>
          <w:szCs w:val="24"/>
          <w:lang w:val="uk-UA"/>
        </w:rPr>
        <w:t>терміном на два роки.</w:t>
      </w:r>
      <w:r w:rsidR="004C4312" w:rsidRPr="00955E57">
        <w:rPr>
          <w:rFonts w:ascii="Calibri" w:eastAsia="Calibri" w:hAnsi="Calibri" w:cs="Calibri"/>
          <w:sz w:val="24"/>
          <w:szCs w:val="24"/>
          <w:lang w:val="uk-UA"/>
        </w:rPr>
        <w:t xml:space="preserve"> Воно складається із п’яти осіб. </w:t>
      </w:r>
      <w:r w:rsidRPr="00955E57">
        <w:rPr>
          <w:rFonts w:ascii="Calibri" w:eastAsia="Calibri" w:hAnsi="Calibri" w:cs="Calibri"/>
          <w:sz w:val="24"/>
          <w:szCs w:val="24"/>
          <w:lang w:val="uk-UA"/>
        </w:rPr>
        <w:t>Правління розглядає та затверджує напрямки діяльності організації</w:t>
      </w:r>
      <w:r w:rsidR="00865B1A" w:rsidRPr="00955E57">
        <w:rPr>
          <w:rFonts w:ascii="Calibri" w:eastAsia="Calibri" w:hAnsi="Calibri" w:cs="Calibri"/>
          <w:sz w:val="24"/>
          <w:szCs w:val="24"/>
          <w:lang w:val="uk-UA"/>
        </w:rPr>
        <w:t>, щорічний бюджет та робочий план</w:t>
      </w:r>
      <w:r w:rsidRPr="00955E57">
        <w:rPr>
          <w:rFonts w:ascii="Calibri" w:eastAsia="Calibri" w:hAnsi="Calibri" w:cs="Calibri"/>
          <w:sz w:val="24"/>
          <w:szCs w:val="24"/>
          <w:lang w:val="uk-UA"/>
        </w:rPr>
        <w:t>, приймає програмні документи</w:t>
      </w:r>
      <w:r w:rsidR="00865B1A" w:rsidRPr="00955E57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  <w:r w:rsidR="008D52AA" w:rsidRPr="00955E57">
        <w:rPr>
          <w:rFonts w:ascii="Calibri" w:eastAsia="Calibri" w:hAnsi="Calibri" w:cs="Calibri"/>
          <w:sz w:val="24"/>
          <w:szCs w:val="24"/>
          <w:lang w:val="uk-UA"/>
        </w:rPr>
        <w:t xml:space="preserve">Повністю повноваження та обов’язки Правління ТІ Україна викладені у </w:t>
      </w:r>
      <w:hyperlink r:id="rId8" w:history="1">
        <w:r w:rsidR="008D52AA" w:rsidRPr="00955E57">
          <w:rPr>
            <w:rStyle w:val="a3"/>
            <w:rFonts w:ascii="Calibri" w:eastAsia="Calibri" w:hAnsi="Calibri" w:cs="Calibri"/>
            <w:color w:val="2E74B5" w:themeColor="accent1" w:themeShade="BF"/>
            <w:sz w:val="24"/>
            <w:szCs w:val="24"/>
            <w:lang w:val="uk-UA"/>
          </w:rPr>
          <w:t>Статуті</w:t>
        </w:r>
      </w:hyperlink>
      <w:r w:rsidR="00D61101">
        <w:rPr>
          <w:rStyle w:val="a3"/>
          <w:rFonts w:ascii="Calibri" w:eastAsia="Calibri" w:hAnsi="Calibri" w:cs="Calibri"/>
          <w:color w:val="2E74B5" w:themeColor="accent1" w:themeShade="BF"/>
          <w:sz w:val="24"/>
          <w:szCs w:val="24"/>
          <w:lang w:val="uk-UA"/>
        </w:rPr>
        <w:t xml:space="preserve"> </w:t>
      </w:r>
      <w:r w:rsidR="008D52AA" w:rsidRPr="00955E57">
        <w:rPr>
          <w:rFonts w:ascii="Calibri" w:eastAsia="Calibri" w:hAnsi="Calibri" w:cs="Calibri"/>
          <w:sz w:val="24"/>
          <w:szCs w:val="24"/>
          <w:lang w:val="uk-UA"/>
        </w:rPr>
        <w:t xml:space="preserve">організації. </w:t>
      </w:r>
    </w:p>
    <w:p w:rsidR="00A075CF" w:rsidRPr="00955E57" w:rsidRDefault="00D61101" w:rsidP="00A075CF">
      <w:pPr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sz w:val="24"/>
          <w:szCs w:val="24"/>
          <w:lang w:val="uk-UA"/>
        </w:rPr>
        <w:t>Існуючий склад П</w:t>
      </w:r>
      <w:bookmarkStart w:id="0" w:name="_GoBack"/>
      <w:bookmarkEnd w:id="0"/>
      <w:r w:rsidR="004C4312" w:rsidRPr="00955E57">
        <w:rPr>
          <w:rFonts w:ascii="Calibri" w:eastAsia="Calibri" w:hAnsi="Calibri" w:cs="Calibri"/>
          <w:sz w:val="24"/>
          <w:szCs w:val="24"/>
          <w:lang w:val="uk-UA"/>
        </w:rPr>
        <w:t>равління був обраний в жовтні 2016 року. У зв’язку із відставкою Віталія Каська, виникла необхідність у виборах п’ятого члена Правління.</w:t>
      </w:r>
    </w:p>
    <w:p w:rsidR="008D52AA" w:rsidRPr="00955E57" w:rsidRDefault="008D52AA" w:rsidP="00A075CF">
      <w:pPr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val="uk-UA"/>
        </w:rPr>
      </w:pPr>
      <w:r w:rsidRPr="00955E57">
        <w:rPr>
          <w:rFonts w:ascii="Calibri" w:eastAsia="Calibri" w:hAnsi="Calibri" w:cs="Calibri"/>
          <w:sz w:val="24"/>
          <w:szCs w:val="24"/>
          <w:lang w:val="uk-UA"/>
        </w:rPr>
        <w:t>Для того, аби взяти участь у конкурсі необхідно подати наступні документи:</w:t>
      </w:r>
    </w:p>
    <w:p w:rsidR="008D52AA" w:rsidRPr="00955E57" w:rsidRDefault="008D52AA" w:rsidP="008D52AA">
      <w:pPr>
        <w:pStyle w:val="af1"/>
        <w:numPr>
          <w:ilvl w:val="0"/>
          <w:numId w:val="13"/>
        </w:numPr>
        <w:rPr>
          <w:rFonts w:ascii="Calibri" w:eastAsia="Calibri" w:hAnsi="Calibri" w:cs="Calibri"/>
          <w:b/>
          <w:lang w:val="uk-UA"/>
        </w:rPr>
      </w:pPr>
      <w:r w:rsidRPr="00955E57">
        <w:rPr>
          <w:rFonts w:ascii="Calibri" w:eastAsia="Calibri" w:hAnsi="Calibri" w:cs="Calibri"/>
          <w:b/>
          <w:lang w:val="uk-UA"/>
        </w:rPr>
        <w:t>Резюме</w:t>
      </w:r>
      <w:r w:rsidR="00865B1A" w:rsidRPr="00955E57">
        <w:rPr>
          <w:rFonts w:ascii="Calibri" w:eastAsia="Calibri" w:hAnsi="Calibri" w:cs="Calibri"/>
          <w:b/>
          <w:lang w:val="uk-UA"/>
        </w:rPr>
        <w:t>;</w:t>
      </w:r>
    </w:p>
    <w:p w:rsidR="008D52AA" w:rsidRPr="00955E57" w:rsidRDefault="008D52AA" w:rsidP="008D52AA">
      <w:pPr>
        <w:pStyle w:val="af1"/>
        <w:numPr>
          <w:ilvl w:val="0"/>
          <w:numId w:val="13"/>
        </w:numPr>
        <w:rPr>
          <w:rFonts w:ascii="Calibri" w:eastAsia="Calibri" w:hAnsi="Calibri" w:cs="Calibri"/>
          <w:b/>
          <w:lang w:val="uk-UA"/>
        </w:rPr>
      </w:pPr>
      <w:r w:rsidRPr="00955E57">
        <w:rPr>
          <w:rFonts w:ascii="Calibri" w:eastAsia="Calibri" w:hAnsi="Calibri" w:cs="Calibri"/>
          <w:b/>
          <w:lang w:val="uk-UA"/>
        </w:rPr>
        <w:t xml:space="preserve">Бачення розвитку ТІ </w:t>
      </w:r>
      <w:r w:rsidR="005B74AF" w:rsidRPr="00955E57">
        <w:rPr>
          <w:rFonts w:ascii="Calibri" w:eastAsia="Calibri" w:hAnsi="Calibri" w:cs="Calibri"/>
          <w:b/>
          <w:lang w:val="uk-UA"/>
        </w:rPr>
        <w:t>Україна та особистого внеску терміном до 2018 р.</w:t>
      </w:r>
    </w:p>
    <w:p w:rsidR="008D52AA" w:rsidRPr="00955E57" w:rsidRDefault="008D52AA" w:rsidP="008D52AA">
      <w:pPr>
        <w:pStyle w:val="af1"/>
        <w:ind w:left="1429"/>
        <w:rPr>
          <w:rFonts w:ascii="Calibri" w:eastAsia="Calibri" w:hAnsi="Calibri" w:cs="Calibri"/>
          <w:lang w:val="uk-UA"/>
        </w:rPr>
      </w:pPr>
    </w:p>
    <w:p w:rsidR="004C4312" w:rsidRPr="00955E57" w:rsidRDefault="004C4312" w:rsidP="008D52AA">
      <w:pPr>
        <w:rPr>
          <w:rFonts w:ascii="Calibri" w:eastAsia="Calibri" w:hAnsi="Calibri" w:cs="Calibri"/>
          <w:sz w:val="24"/>
          <w:szCs w:val="24"/>
          <w:lang w:val="uk-UA"/>
        </w:rPr>
      </w:pPr>
      <w:r w:rsidRPr="00955E57">
        <w:rPr>
          <w:rFonts w:ascii="Calibri" w:eastAsia="Calibri" w:hAnsi="Calibri" w:cs="Calibri"/>
          <w:sz w:val="24"/>
          <w:szCs w:val="24"/>
          <w:lang w:val="uk-UA"/>
        </w:rPr>
        <w:t xml:space="preserve">Чергова Конференція членів ТІ Україна відбудеться 21 жовтня 2017 року. Вона буде приймати рішення щодо обрання нового члена Правління. </w:t>
      </w:r>
    </w:p>
    <w:p w:rsidR="00A075CF" w:rsidRPr="00955E57" w:rsidRDefault="008D52AA" w:rsidP="00A075CF">
      <w:pPr>
        <w:rPr>
          <w:rFonts w:ascii="Calibri" w:hAnsi="Calibri" w:cs="Calibri"/>
          <w:sz w:val="24"/>
          <w:szCs w:val="24"/>
        </w:rPr>
      </w:pPr>
      <w:r w:rsidRPr="00955E57">
        <w:rPr>
          <w:rFonts w:ascii="Calibri" w:eastAsia="Calibri" w:hAnsi="Calibri" w:cs="Calibri"/>
          <w:sz w:val="24"/>
          <w:szCs w:val="24"/>
          <w:lang w:val="uk-UA"/>
        </w:rPr>
        <w:t xml:space="preserve">Прохання надсилати документи на наступні адреси </w:t>
      </w:r>
      <w:hyperlink r:id="rId9" w:history="1"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yurchyshyn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</w:rPr>
          <w:t>@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ti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</w:rPr>
          <w:t>-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ukraine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</w:rPr>
          <w:t>.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org</w:t>
        </w:r>
      </w:hyperlink>
      <w:r w:rsidR="00A075CF" w:rsidRPr="00955E57">
        <w:rPr>
          <w:rFonts w:ascii="Calibri" w:hAnsi="Calibri" w:cs="Calibri"/>
          <w:bCs/>
          <w:sz w:val="24"/>
          <w:szCs w:val="24"/>
        </w:rPr>
        <w:t xml:space="preserve"> та </w:t>
      </w:r>
      <w:hyperlink r:id="rId10" w:history="1"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borovyk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</w:rPr>
          <w:t>@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ti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</w:rPr>
          <w:t>-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ukraine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</w:rPr>
          <w:t>.</w:t>
        </w:r>
        <w:r w:rsidR="00A075CF" w:rsidRPr="00955E57">
          <w:rPr>
            <w:rStyle w:val="a3"/>
            <w:rFonts w:ascii="Calibri" w:hAnsi="Calibri" w:cs="Calibri"/>
            <w:bCs/>
            <w:sz w:val="24"/>
            <w:szCs w:val="24"/>
            <w:lang w:val="en-US"/>
          </w:rPr>
          <w:t>org</w:t>
        </w:r>
      </w:hyperlink>
      <w:r w:rsidRPr="00955E57">
        <w:rPr>
          <w:rFonts w:ascii="Calibri" w:hAnsi="Calibri" w:cs="Calibri"/>
          <w:bCs/>
          <w:sz w:val="24"/>
          <w:szCs w:val="24"/>
          <w:lang w:val="uk-UA"/>
        </w:rPr>
        <w:t xml:space="preserve"> . в темі повідомлення вкажіть «Вибори правління». </w:t>
      </w:r>
    </w:p>
    <w:p w:rsidR="00A075CF" w:rsidRPr="00955E57" w:rsidRDefault="00A075CF" w:rsidP="00A075CF">
      <w:pPr>
        <w:rPr>
          <w:rFonts w:ascii="Calibri" w:hAnsi="Calibri" w:cs="Calibri"/>
          <w:bCs/>
          <w:sz w:val="24"/>
          <w:szCs w:val="24"/>
          <w:lang w:val="uk-UA"/>
        </w:rPr>
      </w:pPr>
      <w:proofErr w:type="spellStart"/>
      <w:r w:rsidRPr="00955E57">
        <w:rPr>
          <w:rFonts w:ascii="Calibri" w:hAnsi="Calibri" w:cs="Calibri"/>
          <w:b/>
          <w:bCs/>
          <w:sz w:val="24"/>
          <w:szCs w:val="24"/>
          <w:lang w:val="uk-UA"/>
        </w:rPr>
        <w:t>Дедлайн</w:t>
      </w:r>
      <w:proofErr w:type="spellEnd"/>
      <w:r w:rsidRPr="00955E57">
        <w:rPr>
          <w:rFonts w:ascii="Calibri" w:hAnsi="Calibri" w:cs="Calibri"/>
          <w:bCs/>
          <w:sz w:val="24"/>
          <w:szCs w:val="24"/>
          <w:lang w:val="uk-UA"/>
        </w:rPr>
        <w:t xml:space="preserve"> подачі: 23:59 20 жовтня</w:t>
      </w:r>
    </w:p>
    <w:p w:rsidR="00A075CF" w:rsidRPr="00955E57" w:rsidRDefault="005B74AF" w:rsidP="005B74AF">
      <w:pPr>
        <w:spacing w:after="0"/>
        <w:contextualSpacing/>
        <w:rPr>
          <w:rFonts w:ascii="Calibri" w:eastAsia="Calibri" w:hAnsi="Calibri" w:cs="Calibri"/>
          <w:sz w:val="24"/>
          <w:szCs w:val="24"/>
          <w:lang w:val="uk-UA"/>
        </w:rPr>
      </w:pP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Зазначаємо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що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діючим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законодавством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, члени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Правління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ТІ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мають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електронно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задекларуватися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встановленому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державних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чиновників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антикорупційних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активістів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порядку до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квітня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2018 року.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Неподання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чи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неправильне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подання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декларації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тягне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за собою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відповідальність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, в тому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числі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кримінальну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. Просимо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враховувате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це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при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поданні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своїх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документів</w:t>
      </w:r>
      <w:proofErr w:type="spellEnd"/>
      <w:r w:rsidRPr="00955E5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на конкурс.</w:t>
      </w:r>
    </w:p>
    <w:p w:rsidR="001115C7" w:rsidRPr="0062744E" w:rsidRDefault="0062744E" w:rsidP="00870B0C">
      <w:pPr>
        <w:spacing w:after="0"/>
        <w:jc w:val="center"/>
        <w:rPr>
          <w:rFonts w:ascii="Calibri" w:eastAsia="Calibri" w:hAnsi="Calibri" w:cs="Calibri"/>
          <w:lang w:val="en-US"/>
        </w:rPr>
      </w:pPr>
      <w:r w:rsidRPr="00955E57">
        <w:rPr>
          <w:rFonts w:ascii="Calibri" w:eastAsia="Calibri" w:hAnsi="Calibri" w:cs="Calibri"/>
          <w:lang w:val="en-US"/>
        </w:rPr>
        <w:t>#</w:t>
      </w:r>
    </w:p>
    <w:p w:rsidR="001115C7" w:rsidRPr="001115C7" w:rsidRDefault="001115C7" w:rsidP="00870B0C">
      <w:pPr>
        <w:spacing w:after="0"/>
        <w:jc w:val="center"/>
        <w:rPr>
          <w:rFonts w:ascii="Calibri" w:eastAsia="Calibri" w:hAnsi="Calibri" w:cs="Calibri"/>
          <w:lang w:val="uk-UA"/>
        </w:rPr>
      </w:pPr>
    </w:p>
    <w:p w:rsidR="001115C7" w:rsidRPr="001115C7" w:rsidRDefault="001115C7" w:rsidP="00870B0C">
      <w:pPr>
        <w:spacing w:after="0"/>
        <w:jc w:val="center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1115C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303DAE" w:rsidRPr="001115C7" w:rsidRDefault="00513000" w:rsidP="001960FB">
            <w:pPr>
              <w:ind w:left="571" w:firstLine="142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TransparencyInternational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:rsidR="00303DAE" w:rsidRPr="001115C7" w:rsidRDefault="00513000" w:rsidP="001960FB">
            <w:pPr>
              <w:ind w:left="571" w:firstLine="142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:rsidR="00303DAE" w:rsidRPr="001115C7" w:rsidRDefault="00513000" w:rsidP="001960FB">
            <w:pPr>
              <w:ind w:left="571" w:firstLine="142"/>
              <w:jc w:val="both"/>
              <w:rPr>
                <w:sz w:val="18"/>
                <w:szCs w:val="18"/>
                <w:lang w:val="uk-UA"/>
              </w:rPr>
            </w:pPr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1" w:history="1">
              <w:r w:rsidRPr="001115C7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303DAE" w:rsidRPr="001115C7" w:rsidRDefault="00513000" w:rsidP="001960FB">
            <w:pPr>
              <w:ind w:left="571" w:firstLine="142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TransparencyInternational</w:t>
            </w:r>
            <w:proofErr w:type="spellEnd"/>
            <w:r w:rsidRPr="001115C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</w:t>
            </w:r>
            <w:proofErr w:type="spellStart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мережіTransparencyInternational</w:t>
            </w:r>
            <w:proofErr w:type="spellEnd"/>
            <w:r w:rsidRPr="001115C7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hyperlink r:id="rId12" w:history="1">
              <w:r w:rsidRPr="001115C7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:rsidR="00303DAE" w:rsidRPr="001115C7" w:rsidRDefault="00303DAE" w:rsidP="00F234FA">
      <w:pPr>
        <w:widowControl w:val="0"/>
        <w:spacing w:line="240" w:lineRule="auto"/>
        <w:rPr>
          <w:lang w:val="uk-UA"/>
        </w:rPr>
      </w:pPr>
    </w:p>
    <w:sectPr w:rsidR="00303DAE" w:rsidRPr="001115C7" w:rsidSect="00196965">
      <w:headerReference w:type="default" r:id="rId13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A1" w:rsidRDefault="00324DA1">
      <w:pPr>
        <w:spacing w:after="0" w:line="240" w:lineRule="auto"/>
      </w:pPr>
      <w:r>
        <w:separator/>
      </w:r>
    </w:p>
  </w:endnote>
  <w:endnote w:type="continuationSeparator" w:id="0">
    <w:p w:rsidR="00324DA1" w:rsidRDefault="003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A1" w:rsidRDefault="00324DA1">
      <w:pPr>
        <w:spacing w:after="0" w:line="240" w:lineRule="auto"/>
      </w:pPr>
      <w:r>
        <w:separator/>
      </w:r>
    </w:p>
  </w:footnote>
  <w:footnote w:type="continuationSeparator" w:id="0">
    <w:p w:rsidR="00324DA1" w:rsidRDefault="003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A4E14"/>
    <w:multiLevelType w:val="hybridMultilevel"/>
    <w:tmpl w:val="CF2C6D26"/>
    <w:lvl w:ilvl="0" w:tplc="454A95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E5023"/>
    <w:multiLevelType w:val="hybridMultilevel"/>
    <w:tmpl w:val="2842E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62B86"/>
    <w:multiLevelType w:val="hybridMultilevel"/>
    <w:tmpl w:val="BA001976"/>
    <w:lvl w:ilvl="0" w:tplc="010CA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F6756CE"/>
    <w:multiLevelType w:val="hybridMultilevel"/>
    <w:tmpl w:val="332A1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3499"/>
    <w:rsid w:val="00035206"/>
    <w:rsid w:val="0004237B"/>
    <w:rsid w:val="00065B2C"/>
    <w:rsid w:val="00075CFA"/>
    <w:rsid w:val="00092179"/>
    <w:rsid w:val="000A733A"/>
    <w:rsid w:val="000B5F97"/>
    <w:rsid w:val="000B642B"/>
    <w:rsid w:val="000C7CE6"/>
    <w:rsid w:val="000D174B"/>
    <w:rsid w:val="000F5E85"/>
    <w:rsid w:val="00102700"/>
    <w:rsid w:val="001115C7"/>
    <w:rsid w:val="00120631"/>
    <w:rsid w:val="00123BEC"/>
    <w:rsid w:val="00136623"/>
    <w:rsid w:val="001370CA"/>
    <w:rsid w:val="00143413"/>
    <w:rsid w:val="00143504"/>
    <w:rsid w:val="001457EC"/>
    <w:rsid w:val="00146CB8"/>
    <w:rsid w:val="00150D0F"/>
    <w:rsid w:val="001511DE"/>
    <w:rsid w:val="00154F13"/>
    <w:rsid w:val="0016707F"/>
    <w:rsid w:val="001823EC"/>
    <w:rsid w:val="001947DA"/>
    <w:rsid w:val="001960FB"/>
    <w:rsid w:val="00196965"/>
    <w:rsid w:val="001B6E4C"/>
    <w:rsid w:val="001C0B30"/>
    <w:rsid w:val="001E74DC"/>
    <w:rsid w:val="00200603"/>
    <w:rsid w:val="002006F6"/>
    <w:rsid w:val="002116C7"/>
    <w:rsid w:val="00242FBB"/>
    <w:rsid w:val="002658D3"/>
    <w:rsid w:val="00271271"/>
    <w:rsid w:val="0027526B"/>
    <w:rsid w:val="00297D09"/>
    <w:rsid w:val="002A5A41"/>
    <w:rsid w:val="002B1BAF"/>
    <w:rsid w:val="002F7764"/>
    <w:rsid w:val="00303DAE"/>
    <w:rsid w:val="00312157"/>
    <w:rsid w:val="003122FE"/>
    <w:rsid w:val="00317C0F"/>
    <w:rsid w:val="00324DA1"/>
    <w:rsid w:val="00337DB7"/>
    <w:rsid w:val="00343A49"/>
    <w:rsid w:val="003502FA"/>
    <w:rsid w:val="00360F2C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F76DB"/>
    <w:rsid w:val="00402C93"/>
    <w:rsid w:val="0045010F"/>
    <w:rsid w:val="00490DE1"/>
    <w:rsid w:val="00495D81"/>
    <w:rsid w:val="00495FBC"/>
    <w:rsid w:val="004A1539"/>
    <w:rsid w:val="004A1A48"/>
    <w:rsid w:val="004A4D7B"/>
    <w:rsid w:val="004C42C9"/>
    <w:rsid w:val="004C4312"/>
    <w:rsid w:val="004D11E4"/>
    <w:rsid w:val="004E11BC"/>
    <w:rsid w:val="00513000"/>
    <w:rsid w:val="00513FB8"/>
    <w:rsid w:val="0051575D"/>
    <w:rsid w:val="00516479"/>
    <w:rsid w:val="00517A86"/>
    <w:rsid w:val="0052672F"/>
    <w:rsid w:val="005353F8"/>
    <w:rsid w:val="005448C3"/>
    <w:rsid w:val="00555A39"/>
    <w:rsid w:val="005651C8"/>
    <w:rsid w:val="005712B2"/>
    <w:rsid w:val="00572516"/>
    <w:rsid w:val="00584885"/>
    <w:rsid w:val="00593932"/>
    <w:rsid w:val="005952EC"/>
    <w:rsid w:val="005A011F"/>
    <w:rsid w:val="005A0A9F"/>
    <w:rsid w:val="005B32D9"/>
    <w:rsid w:val="005B5AD9"/>
    <w:rsid w:val="005B74AF"/>
    <w:rsid w:val="005C32A6"/>
    <w:rsid w:val="005E58BE"/>
    <w:rsid w:val="005E5ACC"/>
    <w:rsid w:val="005E648E"/>
    <w:rsid w:val="006069AA"/>
    <w:rsid w:val="00611AB9"/>
    <w:rsid w:val="006208C4"/>
    <w:rsid w:val="0062744E"/>
    <w:rsid w:val="006276D5"/>
    <w:rsid w:val="00655089"/>
    <w:rsid w:val="00660072"/>
    <w:rsid w:val="00667A02"/>
    <w:rsid w:val="006825BF"/>
    <w:rsid w:val="00695FC8"/>
    <w:rsid w:val="006B0AF5"/>
    <w:rsid w:val="006C2524"/>
    <w:rsid w:val="006C7010"/>
    <w:rsid w:val="006C7636"/>
    <w:rsid w:val="006E2A19"/>
    <w:rsid w:val="006E4192"/>
    <w:rsid w:val="006F636A"/>
    <w:rsid w:val="0070151D"/>
    <w:rsid w:val="00704986"/>
    <w:rsid w:val="0071242E"/>
    <w:rsid w:val="00716DAB"/>
    <w:rsid w:val="007373B2"/>
    <w:rsid w:val="00752EAD"/>
    <w:rsid w:val="00763B29"/>
    <w:rsid w:val="007655C7"/>
    <w:rsid w:val="00767611"/>
    <w:rsid w:val="007915A1"/>
    <w:rsid w:val="007B6929"/>
    <w:rsid w:val="007B7E85"/>
    <w:rsid w:val="007E4C07"/>
    <w:rsid w:val="007E71BB"/>
    <w:rsid w:val="007F18D8"/>
    <w:rsid w:val="007F4859"/>
    <w:rsid w:val="007F6A25"/>
    <w:rsid w:val="00811850"/>
    <w:rsid w:val="008177A5"/>
    <w:rsid w:val="00822080"/>
    <w:rsid w:val="0082695E"/>
    <w:rsid w:val="0083006D"/>
    <w:rsid w:val="00831637"/>
    <w:rsid w:val="008425B9"/>
    <w:rsid w:val="00850C75"/>
    <w:rsid w:val="00862C57"/>
    <w:rsid w:val="00865B1A"/>
    <w:rsid w:val="00870B0C"/>
    <w:rsid w:val="008711DE"/>
    <w:rsid w:val="00884D44"/>
    <w:rsid w:val="008B73CF"/>
    <w:rsid w:val="008C2A84"/>
    <w:rsid w:val="008C5BED"/>
    <w:rsid w:val="008D3944"/>
    <w:rsid w:val="008D52AA"/>
    <w:rsid w:val="008F24B8"/>
    <w:rsid w:val="0090253F"/>
    <w:rsid w:val="00904714"/>
    <w:rsid w:val="00944DF6"/>
    <w:rsid w:val="00953D6E"/>
    <w:rsid w:val="00955E57"/>
    <w:rsid w:val="00957E65"/>
    <w:rsid w:val="00962516"/>
    <w:rsid w:val="00974B17"/>
    <w:rsid w:val="009C395D"/>
    <w:rsid w:val="009C6AF0"/>
    <w:rsid w:val="009D0A08"/>
    <w:rsid w:val="009D6844"/>
    <w:rsid w:val="009E0AAC"/>
    <w:rsid w:val="009E7264"/>
    <w:rsid w:val="00A0231A"/>
    <w:rsid w:val="00A075CF"/>
    <w:rsid w:val="00A2596F"/>
    <w:rsid w:val="00A25C3D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80BC1"/>
    <w:rsid w:val="00AA46C3"/>
    <w:rsid w:val="00AB0A30"/>
    <w:rsid w:val="00AB437B"/>
    <w:rsid w:val="00AB531E"/>
    <w:rsid w:val="00AC08EE"/>
    <w:rsid w:val="00AC0E75"/>
    <w:rsid w:val="00AD63D7"/>
    <w:rsid w:val="00AD7EE1"/>
    <w:rsid w:val="00AF02D0"/>
    <w:rsid w:val="00B017DE"/>
    <w:rsid w:val="00B01C83"/>
    <w:rsid w:val="00B01CB3"/>
    <w:rsid w:val="00B02B34"/>
    <w:rsid w:val="00B11399"/>
    <w:rsid w:val="00B174B8"/>
    <w:rsid w:val="00B21887"/>
    <w:rsid w:val="00B2248A"/>
    <w:rsid w:val="00B40D46"/>
    <w:rsid w:val="00B515F8"/>
    <w:rsid w:val="00B54B8F"/>
    <w:rsid w:val="00B553F7"/>
    <w:rsid w:val="00B60996"/>
    <w:rsid w:val="00B64B79"/>
    <w:rsid w:val="00B73088"/>
    <w:rsid w:val="00BB41A6"/>
    <w:rsid w:val="00BB6C50"/>
    <w:rsid w:val="00BC7AF1"/>
    <w:rsid w:val="00BD613D"/>
    <w:rsid w:val="00BE0D81"/>
    <w:rsid w:val="00BF018A"/>
    <w:rsid w:val="00BF7143"/>
    <w:rsid w:val="00C0304A"/>
    <w:rsid w:val="00C11E11"/>
    <w:rsid w:val="00C154E7"/>
    <w:rsid w:val="00C16E2C"/>
    <w:rsid w:val="00C232BB"/>
    <w:rsid w:val="00C32FFD"/>
    <w:rsid w:val="00C45536"/>
    <w:rsid w:val="00C46CE8"/>
    <w:rsid w:val="00C46EFB"/>
    <w:rsid w:val="00C53AD0"/>
    <w:rsid w:val="00C60790"/>
    <w:rsid w:val="00C65BB4"/>
    <w:rsid w:val="00C65C1C"/>
    <w:rsid w:val="00C70A68"/>
    <w:rsid w:val="00C70C2C"/>
    <w:rsid w:val="00C7322C"/>
    <w:rsid w:val="00C75F8D"/>
    <w:rsid w:val="00C86004"/>
    <w:rsid w:val="00C8780E"/>
    <w:rsid w:val="00CA6C2D"/>
    <w:rsid w:val="00CD0D37"/>
    <w:rsid w:val="00CD1C0A"/>
    <w:rsid w:val="00CE7762"/>
    <w:rsid w:val="00D01EE8"/>
    <w:rsid w:val="00D13D67"/>
    <w:rsid w:val="00D15B33"/>
    <w:rsid w:val="00D2028D"/>
    <w:rsid w:val="00D34210"/>
    <w:rsid w:val="00D37157"/>
    <w:rsid w:val="00D43125"/>
    <w:rsid w:val="00D54BC5"/>
    <w:rsid w:val="00D61101"/>
    <w:rsid w:val="00D70186"/>
    <w:rsid w:val="00D71AAE"/>
    <w:rsid w:val="00D74215"/>
    <w:rsid w:val="00D8219D"/>
    <w:rsid w:val="00D8363E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77DDA"/>
    <w:rsid w:val="00E81AE4"/>
    <w:rsid w:val="00E86C17"/>
    <w:rsid w:val="00E876D4"/>
    <w:rsid w:val="00EA2936"/>
    <w:rsid w:val="00EB24E3"/>
    <w:rsid w:val="00ED1F68"/>
    <w:rsid w:val="00EF6CFF"/>
    <w:rsid w:val="00F029B6"/>
    <w:rsid w:val="00F13E60"/>
    <w:rsid w:val="00F234FA"/>
    <w:rsid w:val="00F42541"/>
    <w:rsid w:val="00F553EC"/>
    <w:rsid w:val="00F579E2"/>
    <w:rsid w:val="00F65636"/>
    <w:rsid w:val="00F76AFB"/>
    <w:rsid w:val="00F83541"/>
    <w:rsid w:val="00F90493"/>
    <w:rsid w:val="00F905EF"/>
    <w:rsid w:val="00F90DC4"/>
    <w:rsid w:val="00F957CF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6FC"/>
  <w15:docId w15:val="{848364E1-1FB4-4726-ACB6-4A060AE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6965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965"/>
    <w:rPr>
      <w:u w:val="single"/>
    </w:rPr>
  </w:style>
  <w:style w:type="table" w:customStyle="1" w:styleId="TableNormal1">
    <w:name w:val="Table Normal1"/>
    <w:rsid w:val="00196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196965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rsid w:val="0019696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rsid w:val="00196965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sid w:val="00196965"/>
    <w:rPr>
      <w:color w:val="0000FF"/>
      <w:u w:val="single" w:color="0000FF"/>
    </w:rPr>
  </w:style>
  <w:style w:type="character" w:customStyle="1" w:styleId="Hyperlink0">
    <w:name w:val="Hyperlink.0"/>
    <w:basedOn w:val="a7"/>
    <w:rsid w:val="00196965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sid w:val="00196965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sid w:val="001969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about/statu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-ukrain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mchenko@ti-ukra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rovyk@ti-ukr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rchyshyn@ti-ukrai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DD67-66F2-4D40-9706-F6BBCD6C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Olga Tymchenko</cp:lastModifiedBy>
  <cp:revision>3</cp:revision>
  <dcterms:created xsi:type="dcterms:W3CDTF">2017-10-17T09:52:00Z</dcterms:created>
  <dcterms:modified xsi:type="dcterms:W3CDTF">2017-10-17T09:54:00Z</dcterms:modified>
</cp:coreProperties>
</file>