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Default="0088558B" w:rsidP="003D0554">
      <w:pPr>
        <w:spacing w:after="0"/>
      </w:pPr>
      <w:r>
        <w:t>21</w:t>
      </w:r>
      <w:r w:rsidR="003D0554">
        <w:t>.11.2017</w:t>
      </w:r>
    </w:p>
    <w:p w:rsidR="003D0554" w:rsidRDefault="003D0554" w:rsidP="003D0554">
      <w:pPr>
        <w:spacing w:after="0"/>
      </w:pPr>
      <w:r>
        <w:t>ПРЕС-РЕЛІЗ</w:t>
      </w:r>
    </w:p>
    <w:p w:rsidR="003D0554" w:rsidRPr="003D0554" w:rsidRDefault="003D0554" w:rsidP="003D0554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</w:pPr>
      <w:r w:rsidRPr="000C460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«Вони самі не прилетять»: ТІ Україна запус</w:t>
      </w:r>
      <w:r w:rsidR="0088558B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тила</w:t>
      </w:r>
      <w:r w:rsidRPr="000C460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 xml:space="preserve"> нову кампанію</w:t>
      </w:r>
      <w:r w:rsidR="009811F6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 xml:space="preserve"> </w:t>
      </w:r>
    </w:p>
    <w:p w:rsidR="003D0554" w:rsidRDefault="003D0554" w:rsidP="0088558B">
      <w:pPr>
        <w:ind w:firstLine="709"/>
        <w:contextualSpacing/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</w:pP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Українське представництво міжнародної антикорупційної організації </w:t>
      </w: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val="en-US" w:eastAsia="en-GB"/>
        </w:rPr>
        <w:t>Transparency</w:t>
      </w: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 </w:t>
      </w: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val="en-US" w:eastAsia="en-GB"/>
        </w:rPr>
        <w:t>International</w:t>
      </w:r>
      <w:r w:rsidR="0088558B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 запустила</w:t>
      </w: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 нову комунікаційну кампанію, аби нагадати українській владі, що без її зусиль активи, вкрадені злочинним режимом Януковича,</w:t>
      </w:r>
      <w:r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 самотужки</w:t>
      </w:r>
      <w:r w:rsidRPr="000C4609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 xml:space="preserve"> не повернуться в державу.</w:t>
      </w:r>
    </w:p>
    <w:p w:rsidR="0088558B" w:rsidRPr="003D0554" w:rsidRDefault="0088558B" w:rsidP="0088558B">
      <w:pPr>
        <w:ind w:firstLine="709"/>
        <w:contextualSpacing/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</w:pPr>
    </w:p>
    <w:p w:rsidR="003D0554" w:rsidRDefault="003D0554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З 4 по 6 грудня 2017 року у Вашингтоні, США проходитиме </w:t>
      </w:r>
      <w:hyperlink r:id="rId6" w:history="1">
        <w:r w:rsidRPr="000C4609">
          <w:rPr>
            <w:rStyle w:val="a7"/>
            <w:rFonts w:ascii="Calibri" w:eastAsia="Times New Roman" w:hAnsi="Calibri" w:cs="Times New Roman"/>
            <w:shd w:val="clear" w:color="auto" w:fill="FFFFFF"/>
            <w:lang w:eastAsia="en-GB"/>
          </w:rPr>
          <w:t>Глобальний форум з повернення активів</w:t>
        </w:r>
      </w:hyperlink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(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US" w:eastAsia="en-GB"/>
        </w:rPr>
        <w:t>GFAR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), який спільно організують уряди США та Великої Британії за підтримки Світового Банку. 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Організатори визначили для заходу чотири фокус-країни</w:t>
      </w:r>
      <w:r w:rsidRPr="00083DA0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: Шрі Ланка, Нігерія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, </w:t>
      </w:r>
      <w:r w:rsidRPr="00083DA0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Туніс 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і Україна.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Проте лишається загадкою, про що звітуватиме українська влада перед міжнародною спільнотою.</w:t>
      </w:r>
      <w:r w:rsidR="0088558B" w:rsidRP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Адже п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овернення активів колишнього режиму затягнулося на роки, а українська влада не нехтує все новими </w:t>
      </w:r>
      <w:hyperlink r:id="rId7" w:history="1">
        <w:r w:rsidR="0088558B" w:rsidRPr="003853ED">
          <w:rPr>
            <w:rStyle w:val="a7"/>
            <w:rFonts w:ascii="Calibri" w:eastAsia="Times New Roman" w:hAnsi="Calibri" w:cs="Times New Roman"/>
            <w:shd w:val="clear" w:color="auto" w:fill="FFFFFF"/>
            <w:lang w:eastAsia="en-GB"/>
          </w:rPr>
          <w:t>обіцянками</w:t>
        </w:r>
      </w:hyperlink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й </w:t>
      </w:r>
      <w:proofErr w:type="spellStart"/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дедлайнами</w:t>
      </w:r>
      <w:proofErr w:type="spellEnd"/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розкриття корупційних злочинів 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«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команди Януковича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»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.</w:t>
      </w:r>
    </w:p>
    <w:p w:rsidR="00C97441" w:rsidRDefault="00C97441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 w:rsidRPr="00C97441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>«</w:t>
      </w:r>
      <w:r w:rsidR="003D0554" w:rsidRPr="00C97441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>На жаль, в Україні до цього часу жодного обвинувального акту у провадженнях про корупційні злочини стосовно Януковича і колишніх високопосадовців з його оточення не скеровано до суду. Конвенція ООН проти корупції визначає важливість пошуку, арешту та конфіскації злочинних активів. Однак для українських правоохоронців, зокрема Генеральної прокуратури України, цей напрямок роботи, сх</w:t>
      </w:r>
      <w:r w:rsidRPr="00C97441">
        <w:rPr>
          <w:rFonts w:ascii="Calibri" w:eastAsia="Times New Roman" w:hAnsi="Calibri" w:cs="Times New Roman"/>
          <w:i/>
          <w:color w:val="000000"/>
          <w:shd w:val="clear" w:color="auto" w:fill="FFFFFF"/>
          <w:lang w:eastAsia="en-GB"/>
        </w:rPr>
        <w:t>оже, лишається не пріоритетним»,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- прокоментував </w:t>
      </w:r>
      <w:r w:rsidRPr="00C97441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Андрій Слюсар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, керівник програми протидії топ-корупції.</w:t>
      </w:r>
    </w:p>
    <w:p w:rsidR="003D0554" w:rsidRDefault="003D0554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Нагадаємо, що через бездіяльність українських правоохоронних органів «поплічника» Януковича Юрія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Іванющенка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hyperlink r:id="rId8" w:history="1">
        <w:r w:rsidRPr="00F01960">
          <w:rPr>
            <w:rStyle w:val="a7"/>
            <w:rFonts w:ascii="Calibri" w:eastAsia="Times New Roman" w:hAnsi="Calibri" w:cs="Times New Roman"/>
            <w:shd w:val="clear" w:color="auto" w:fill="FFFFFF"/>
            <w:lang w:eastAsia="en-GB"/>
          </w:rPr>
          <w:t xml:space="preserve">виключили із </w:t>
        </w:r>
        <w:proofErr w:type="spellStart"/>
        <w:r w:rsidRPr="00F01960">
          <w:rPr>
            <w:rStyle w:val="a7"/>
            <w:rFonts w:ascii="Calibri" w:eastAsia="Times New Roman" w:hAnsi="Calibri" w:cs="Times New Roman"/>
            <w:shd w:val="clear" w:color="auto" w:fill="FFFFFF"/>
            <w:lang w:eastAsia="en-GB"/>
          </w:rPr>
          <w:t>санкційного</w:t>
        </w:r>
        <w:proofErr w:type="spellEnd"/>
        <w:r w:rsidRPr="00F01960">
          <w:rPr>
            <w:rStyle w:val="a7"/>
            <w:rFonts w:ascii="Calibri" w:eastAsia="Times New Roman" w:hAnsi="Calibri" w:cs="Times New Roman"/>
            <w:shd w:val="clear" w:color="auto" w:fill="FFFFFF"/>
            <w:lang w:eastAsia="en-GB"/>
          </w:rPr>
          <w:t xml:space="preserve"> списку ЄС</w:t>
        </w:r>
      </w:hyperlink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цього року. Тому вкрай необхідно досягти прогресу в решті розслідувань, які зараз перебувають у провадженні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Генеральної прокуратури України. Доведення в законному порядку в Україні злочинності корупційних дій оточення Януковича є обов’язковою передумовою повернення численних активів, арештованих у різних іноземних юрисдикціях в результаті застосування персональних санкції.</w:t>
      </w:r>
    </w:p>
    <w:p w:rsidR="003D0554" w:rsidRDefault="003D0554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Саме тому напередодні Глобального форуму з повернення активів представництво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US" w:eastAsia="en-GB"/>
        </w:rPr>
        <w:t>Transparency</w:t>
      </w:r>
      <w:r w:rsidRPr="003800F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US" w:eastAsia="en-GB"/>
        </w:rPr>
        <w:t>International</w:t>
      </w:r>
      <w:r w:rsidRPr="003800F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в Україні запус</w:t>
      </w:r>
      <w:r w:rsidR="0088558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тило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комунікаційну кампанію </w:t>
      </w:r>
      <w:r w:rsidRPr="00AD4A2E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«Вони самі не прилетять»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, аби українські правоохоронці не зупинялися в розслідуваннях корупційних злочинів Януковича та його оточення.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Сітілайти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можна побачити в Києві. </w:t>
      </w:r>
      <w:r w:rsidRPr="003800F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ТІ Україна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вкотре </w:t>
      </w:r>
      <w:r w:rsidRPr="003800F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наголошує на значному суспільному інтересі щодо повернення у державний бюджет корупційних активів часів Януковича.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</w:p>
    <w:p w:rsidR="0088558B" w:rsidRDefault="0088558B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</w:p>
    <w:p w:rsidR="003D0554" w:rsidRDefault="003D0554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 w:rsidRPr="0088558B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Довідка</w:t>
      </w:r>
      <w:r w:rsidR="0088558B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Домовленість про проведення у 2017 році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Глобального форуму з повернення активів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(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GFAR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)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була одним з результатів Антикорупційного саміту у Лондоні в 2016 році.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Завданням </w:t>
      </w:r>
      <w:r w:rsidRPr="009809C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GFAR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організатори визначають вивчення прогресу у розслідуваннях корупції у фокус-країнах та покращення міжнародної допомоги і співпраці у поверненні викрадених активів. У роботі Форуму візьмуть участь урядові делегації з фокус-країн та країн переважного перебування активів, представники громадянського суспільства з цих країн, а також представники міжнародних організації.</w:t>
      </w:r>
    </w:p>
    <w:p w:rsidR="0088558B" w:rsidRDefault="0088558B" w:rsidP="0088558B">
      <w:pPr>
        <w:ind w:firstLine="709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</w:p>
    <w:p w:rsidR="003D0554" w:rsidRDefault="003D0554" w:rsidP="003D0554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D0554" w:rsidRPr="00045375" w:rsidTr="007C6CD0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D0554" w:rsidRPr="00045375" w:rsidRDefault="003D0554" w:rsidP="007C6CD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Контакт для медіа: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Ольга Тимченко, керівник департаменту комунікації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3D0554" w:rsidRPr="00045375" w:rsidRDefault="003D0554" w:rsidP="007C6CD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>. 050-352-96-18,</w:t>
            </w:r>
          </w:p>
          <w:p w:rsidR="003D0554" w:rsidRPr="00045375" w:rsidRDefault="003D0554" w:rsidP="007C6CD0">
            <w:pPr>
              <w:ind w:left="414"/>
              <w:jc w:val="both"/>
              <w:rPr>
                <w:sz w:val="18"/>
                <w:szCs w:val="18"/>
              </w:rPr>
            </w:pPr>
            <w:r w:rsidRPr="00045375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9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D0554" w:rsidRPr="00045375" w:rsidRDefault="003D0554" w:rsidP="007C6CD0">
            <w:pPr>
              <w:ind w:left="414"/>
              <w:jc w:val="both"/>
              <w:rPr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0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3D0554" w:rsidRDefault="003D0554" w:rsidP="003D0554">
      <w:pP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</w:p>
    <w:p w:rsidR="003D0554" w:rsidRDefault="003D0554"/>
    <w:sectPr w:rsidR="003D0554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8" w:rsidRDefault="00A17808" w:rsidP="003D0554">
      <w:pPr>
        <w:spacing w:after="0" w:line="240" w:lineRule="auto"/>
      </w:pPr>
      <w:r>
        <w:separator/>
      </w:r>
    </w:p>
  </w:endnote>
  <w:endnote w:type="continuationSeparator" w:id="0">
    <w:p w:rsidR="00A17808" w:rsidRDefault="00A17808" w:rsidP="003D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8" w:rsidRDefault="00A17808" w:rsidP="003D0554">
      <w:pPr>
        <w:spacing w:after="0" w:line="240" w:lineRule="auto"/>
      </w:pPr>
      <w:r>
        <w:separator/>
      </w:r>
    </w:p>
  </w:footnote>
  <w:footnote w:type="continuationSeparator" w:id="0">
    <w:p w:rsidR="00A17808" w:rsidRDefault="00A17808" w:rsidP="003D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4" w:rsidRDefault="003D0554" w:rsidP="003D0554">
    <w:pPr>
      <w:spacing w:after="0"/>
      <w:ind w:left="5103"/>
      <w:rPr>
        <w:color w:val="00A1DA"/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F0EFCFD" wp14:editId="7D0C688C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3D0554" w:rsidRDefault="003D0554" w:rsidP="003D0554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3D0554" w:rsidRPr="003D0554" w:rsidRDefault="003D0554" w:rsidP="003D0554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3D0554" w:rsidRDefault="003D0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C"/>
    <w:rsid w:val="003853ED"/>
    <w:rsid w:val="003D0554"/>
    <w:rsid w:val="004F68B6"/>
    <w:rsid w:val="007D0A75"/>
    <w:rsid w:val="0088558B"/>
    <w:rsid w:val="009811F6"/>
    <w:rsid w:val="009A6FDC"/>
    <w:rsid w:val="009D3743"/>
    <w:rsid w:val="00A17808"/>
    <w:rsid w:val="00AD4A2E"/>
    <w:rsid w:val="00C97441"/>
    <w:rsid w:val="00E330A5"/>
    <w:rsid w:val="00E5235E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4372"/>
  <w15:chartTrackingRefBased/>
  <w15:docId w15:val="{6CD76531-1F9C-4844-A640-670C1FA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554"/>
  </w:style>
  <w:style w:type="paragraph" w:styleId="a5">
    <w:name w:val="footer"/>
    <w:basedOn w:val="a"/>
    <w:link w:val="a6"/>
    <w:uiPriority w:val="99"/>
    <w:unhideWhenUsed/>
    <w:rsid w:val="003D05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554"/>
  </w:style>
  <w:style w:type="character" w:styleId="a7">
    <w:name w:val="Hyperlink"/>
    <w:basedOn w:val="a0"/>
    <w:uiPriority w:val="99"/>
    <w:unhideWhenUsed/>
    <w:rsid w:val="003D0554"/>
    <w:rPr>
      <w:color w:val="0563C1" w:themeColor="hyperlink"/>
      <w:u w:val="single"/>
    </w:rPr>
  </w:style>
  <w:style w:type="table" w:customStyle="1" w:styleId="TableNormal1">
    <w:name w:val="Table Normal1"/>
    <w:rsid w:val="003D0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3D0554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news/chy-povernetsia-do-ukrainy-zoloto-yanukovych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-ukraine.org/news/ti-ukraina-prosyt-henprokurora-povidomyty-pro-rezultaty-rozsliduvannia-sprav-proty-kolyshnoho-rezhym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r.worldbank.org/star/about-us/global-forum-asset-recovery-gfa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i-ukrain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Tymchenko</cp:lastModifiedBy>
  <cp:revision>19</cp:revision>
  <dcterms:created xsi:type="dcterms:W3CDTF">2017-11-20T10:09:00Z</dcterms:created>
  <dcterms:modified xsi:type="dcterms:W3CDTF">2017-11-20T16:08:00Z</dcterms:modified>
</cp:coreProperties>
</file>